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default" w:ascii="Times New Roman" w:hAnsi="Times New Roman" w:eastAsia="黑体" w:cs="Times New Roman"/>
          <w:sz w:val="32"/>
          <w:lang w:eastAsia="zh-CN"/>
        </w:rPr>
      </w:pPr>
      <w:r>
        <w:rPr>
          <w:rFonts w:hint="default" w:ascii="Times New Roman" w:hAnsi="Times New Roman" w:eastAsia="黑体" w:cs="Times New Roman"/>
          <w:sz w:val="32"/>
        </w:rPr>
        <w:t>合肥工业大学 化学工程与工艺</w:t>
      </w:r>
      <w:r>
        <w:rPr>
          <w:rFonts w:hint="default" w:ascii="Times New Roman" w:hAnsi="Times New Roman" w:eastAsia="隶书" w:cs="Times New Roman"/>
          <w:sz w:val="32"/>
        </w:rPr>
        <w:t xml:space="preserve">  </w:t>
      </w:r>
      <w:r>
        <w:rPr>
          <w:rFonts w:hint="default" w:ascii="Times New Roman" w:hAnsi="Times New Roman" w:eastAsia="黑体" w:cs="Times New Roman"/>
          <w:sz w:val="32"/>
        </w:rPr>
        <w:t>专业</w:t>
      </w:r>
      <w:r>
        <w:rPr>
          <w:rFonts w:hint="default" w:ascii="Times New Roman" w:hAnsi="Times New Roman" w:eastAsia="黑体" w:cs="Times New Roman"/>
          <w:sz w:val="32"/>
        </w:rPr>
        <w:t>人才培养方案</w:t>
      </w:r>
      <w:r>
        <w:rPr>
          <w:rFonts w:hint="default" w:ascii="Times New Roman" w:hAnsi="Times New Roman" w:eastAsia="黑体" w:cs="Times New Roman"/>
          <w:sz w:val="32"/>
          <w:lang w:eastAsia="zh-CN"/>
        </w:rPr>
        <w:t>（</w:t>
      </w:r>
      <w:r>
        <w:rPr>
          <w:rFonts w:hint="default" w:ascii="Times New Roman" w:hAnsi="Times New Roman" w:eastAsia="黑体" w:cs="Times New Roman"/>
          <w:sz w:val="32"/>
          <w:lang w:val="en-US" w:eastAsia="zh-CN"/>
        </w:rPr>
        <w:t>2019</w:t>
      </w:r>
      <w:r>
        <w:rPr>
          <w:rFonts w:hint="eastAsia" w:ascii="Times New Roman" w:hAnsi="Times New Roman" w:eastAsia="黑体" w:cs="Times New Roman"/>
          <w:sz w:val="32"/>
          <w:lang w:val="en-US" w:eastAsia="zh-CN"/>
        </w:rPr>
        <w:t>版</w:t>
      </w:r>
      <w:r>
        <w:rPr>
          <w:rFonts w:hint="default" w:ascii="Times New Roman" w:hAnsi="Times New Roman" w:eastAsia="黑体" w:cs="Times New Roman"/>
          <w:sz w:val="32"/>
          <w:lang w:eastAsia="zh-CN"/>
        </w:rPr>
        <w:t>）</w:t>
      </w:r>
    </w:p>
    <w:p>
      <w:pPr>
        <w:spacing w:line="600" w:lineRule="auto"/>
        <w:jc w:val="center"/>
        <w:rPr>
          <w:rFonts w:ascii="黑体" w:hAnsi="黑体" w:eastAsia="黑体" w:cs="黑体"/>
          <w:sz w:val="32"/>
        </w:rPr>
      </w:pPr>
      <w:r>
        <w:rPr>
          <w:rFonts w:hint="eastAsia" w:ascii="黑体" w:hAnsi="黑体" w:eastAsia="黑体" w:cs="黑体"/>
          <w:sz w:val="32"/>
        </w:rPr>
        <w:t>（081301）</w:t>
      </w:r>
    </w:p>
    <w:p>
      <w:pPr>
        <w:spacing w:before="240" w:after="120" w:line="340" w:lineRule="auto"/>
        <w:rPr>
          <w:rFonts w:ascii="黑体" w:hAnsi="黑体" w:eastAsia="黑体" w:cs="黑体"/>
          <w:sz w:val="24"/>
        </w:rPr>
      </w:pPr>
      <w:r>
        <w:rPr>
          <w:rFonts w:hint="eastAsia" w:ascii="黑体" w:hAnsi="黑体" w:eastAsia="黑体" w:cs="黑体"/>
          <w:sz w:val="24"/>
        </w:rPr>
        <w:t>一、专业</w:t>
      </w:r>
      <w:r>
        <w:rPr>
          <w:rFonts w:ascii="黑体" w:hAnsi="黑体" w:eastAsia="黑体" w:cs="黑体"/>
          <w:sz w:val="24"/>
        </w:rPr>
        <w:t>简介</w:t>
      </w:r>
    </w:p>
    <w:p>
      <w:pPr>
        <w:spacing w:line="340" w:lineRule="auto"/>
        <w:ind w:firstLine="420"/>
        <w:rPr>
          <w:rFonts w:cs="黑体" w:asciiTheme="minorEastAsia" w:hAnsiTheme="minorEastAsia"/>
        </w:rPr>
      </w:pPr>
      <w:r>
        <w:rPr>
          <w:rFonts w:cs="黑体" w:asciiTheme="minorEastAsia" w:hAnsiTheme="minorEastAsia"/>
        </w:rPr>
        <w:t>合肥工业大学化学工程与工艺专业创办于1958年，涉及化学工程、化学工艺、精细化工、工业催化等多个学科和方向；有材料化学工程、生物质化学工程2个二级学科博士点，化学工程与技术一级学科硕士点，化学工程领域工程硕士专业学位授权点；“安徽省化学化工实验教学示范中心”“可控化学与材料化工安徽省重点实验室”、“安徽省精细化工催化加氢工程技术中心”等学科实践基地作为专业支撑。</w:t>
      </w:r>
    </w:p>
    <w:p>
      <w:pPr>
        <w:spacing w:line="340" w:lineRule="auto"/>
        <w:ind w:firstLine="420"/>
        <w:rPr>
          <w:rFonts w:cs="黑体" w:asciiTheme="minorEastAsia" w:hAnsiTheme="minorEastAsia"/>
        </w:rPr>
      </w:pPr>
      <w:r>
        <w:rPr>
          <w:rFonts w:cs="黑体" w:asciiTheme="minorEastAsia" w:hAnsiTheme="minorEastAsia"/>
        </w:rPr>
        <w:t>本专业现为国家一流本科专业建设点，教育部“卓越工程师培养计划”试点专业，安徽省一流品牌专业，安徽省特色专业和综合改革试点专业。2011</w:t>
      </w:r>
      <w:r>
        <w:rPr>
          <w:rFonts w:hint="eastAsia" w:cs="黑体" w:asciiTheme="minorEastAsia" w:hAnsiTheme="minorEastAsia"/>
        </w:rPr>
        <w:t>和</w:t>
      </w:r>
      <w:r>
        <w:rPr>
          <w:rFonts w:cs="黑体" w:asciiTheme="minorEastAsia" w:hAnsiTheme="minorEastAsia"/>
        </w:rPr>
        <w:t>2017年，</w:t>
      </w:r>
      <w:r>
        <w:rPr>
          <w:rFonts w:hint="eastAsia" w:cs="黑体" w:asciiTheme="minorEastAsia" w:hAnsiTheme="minorEastAsia"/>
        </w:rPr>
        <w:t>两次</w:t>
      </w:r>
      <w:r>
        <w:rPr>
          <w:rFonts w:cs="黑体" w:asciiTheme="minorEastAsia" w:hAnsiTheme="minorEastAsia"/>
        </w:rPr>
        <w:t>通过专业工程教育认证。专业现有专任教师45人（包括实验教师6人），</w:t>
      </w:r>
      <w:r>
        <w:rPr>
          <w:rFonts w:hint="eastAsia" w:cs="黑体" w:asciiTheme="minorEastAsia" w:hAnsiTheme="minorEastAsia"/>
        </w:rPr>
        <w:t>其中</w:t>
      </w:r>
      <w:r>
        <w:rPr>
          <w:rFonts w:cs="黑体" w:asciiTheme="minorEastAsia" w:hAnsiTheme="minorEastAsia"/>
        </w:rPr>
        <w:t>教育部化学工程与工艺专业教学指导委员会委员1人、安徽省教学名师3人、省级教坛新秀3人、教育部新世纪优秀人才1人</w:t>
      </w:r>
      <w:r>
        <w:rPr>
          <w:rFonts w:hint="eastAsia" w:cs="黑体" w:asciiTheme="minorEastAsia" w:hAnsiTheme="minorEastAsia"/>
        </w:rPr>
        <w:t>。</w:t>
      </w:r>
    </w:p>
    <w:p>
      <w:pPr>
        <w:spacing w:line="340" w:lineRule="auto"/>
        <w:ind w:firstLine="420"/>
        <w:rPr>
          <w:rFonts w:cs="黑体" w:asciiTheme="minorEastAsia" w:hAnsiTheme="minorEastAsia"/>
        </w:rPr>
      </w:pPr>
      <w:r>
        <w:rPr>
          <w:rFonts w:cs="黑体" w:asciiTheme="minorEastAsia" w:hAnsiTheme="minorEastAsia"/>
        </w:rPr>
        <w:t>专业自成立以来，根据社会对化工人才的需求和专业发展情况，不断充实和完善专业人才培养方案，构建并形成了特色鲜明的“从理论到实践、从验证到创新、从设计到工程”、“四年不断线、循序渐进”的“三层次三结合”实践教学体系，形成了集“实验实践教学→创新能力培养→科学研究和成果转化”为一体的化工类创新型工程技术人才培养基地。已为我国化工等行业领域培养了近5000名从事研究、开发或应用的高级工程技术人才，涌现出科技部副部长、中国工程院院士徐南平教授，中国科学院院士俞书宏教授，中石化副总裁余夕志、国有重点大型企业监事会主席赵华林等一大批科学家、工程专家、企业家。</w:t>
      </w:r>
    </w:p>
    <w:p>
      <w:pPr>
        <w:spacing w:before="240" w:after="120" w:line="340" w:lineRule="auto"/>
        <w:rPr>
          <w:rFonts w:ascii="黑体" w:hAnsi="黑体" w:eastAsia="黑体" w:cs="黑体"/>
          <w:sz w:val="24"/>
        </w:rPr>
      </w:pPr>
      <w:r>
        <w:rPr>
          <w:rFonts w:hint="eastAsia" w:ascii="黑体" w:hAnsi="黑体" w:eastAsia="黑体" w:cs="黑体"/>
          <w:sz w:val="24"/>
        </w:rPr>
        <w:t>二</w:t>
      </w:r>
      <w:r>
        <w:rPr>
          <w:rFonts w:ascii="黑体" w:hAnsi="黑体" w:eastAsia="黑体" w:cs="黑体"/>
          <w:sz w:val="24"/>
        </w:rPr>
        <w:t>、培养目标</w:t>
      </w:r>
    </w:p>
    <w:p>
      <w:pPr>
        <w:spacing w:line="341" w:lineRule="auto"/>
        <w:ind w:firstLine="420"/>
        <w:rPr>
          <w:rFonts w:cs="黑体" w:asciiTheme="minorEastAsia" w:hAnsiTheme="minorEastAsia"/>
        </w:rPr>
      </w:pPr>
      <w:r>
        <w:rPr>
          <w:rFonts w:cs="黑体" w:asciiTheme="minorEastAsia" w:hAnsiTheme="minorEastAsia"/>
        </w:rPr>
        <w:t>培养</w:t>
      </w:r>
      <w:r>
        <w:rPr>
          <w:rFonts w:hint="eastAsia" w:cs="黑体" w:asciiTheme="minorEastAsia" w:hAnsiTheme="minorEastAsia"/>
        </w:rPr>
        <w:t>德才兼备，</w:t>
      </w:r>
      <w:r>
        <w:rPr>
          <w:rFonts w:cs="黑体" w:asciiTheme="minorEastAsia" w:hAnsiTheme="minorEastAsia"/>
        </w:rPr>
        <w:t>适应社会、经济、科技发展需要，掌握扎实的基础知识和化学工程与工艺专业知识，具备较强的工程实践能力，具有创新意识和国际化视野，具有较强的社会责任感、良好的职业道德，</w:t>
      </w:r>
      <w:r>
        <w:rPr>
          <w:rFonts w:hint="eastAsia" w:cs="黑体" w:asciiTheme="minorEastAsia" w:hAnsiTheme="minorEastAsia"/>
        </w:rPr>
        <w:t>具备安全、环保意识和可持续发展的绿色化工理念</w:t>
      </w:r>
      <w:r>
        <w:rPr>
          <w:rFonts w:hint="eastAsia"/>
          <w:color w:val="000000"/>
          <w:sz w:val="23"/>
          <w:szCs w:val="23"/>
        </w:rPr>
        <w:t>，</w:t>
      </w:r>
      <w:r>
        <w:rPr>
          <w:rFonts w:cs="黑体" w:asciiTheme="minorEastAsia" w:hAnsiTheme="minorEastAsia"/>
        </w:rPr>
        <w:t>能在化学工业及其相关领域从事产品研制、技术开发、工程设计、生产管理、产品营销等工作的工程技术人才。</w:t>
      </w:r>
    </w:p>
    <w:p>
      <w:pPr>
        <w:spacing w:line="341" w:lineRule="auto"/>
        <w:ind w:firstLine="420" w:firstLineChars="200"/>
        <w:rPr>
          <w:rFonts w:cs="黑体" w:asciiTheme="minorEastAsia" w:hAnsiTheme="minorEastAsia"/>
        </w:rPr>
      </w:pPr>
      <w:r>
        <w:rPr>
          <w:rFonts w:hint="eastAsia" w:cs="黑体" w:asciiTheme="minorEastAsia" w:hAnsiTheme="minorEastAsia"/>
        </w:rPr>
        <w:t>本专业毕业生经过五年左右的工程实践，能达到如下目标要求：</w:t>
      </w:r>
    </w:p>
    <w:p>
      <w:pPr>
        <w:keepNext w:val="0"/>
        <w:keepLines w:val="0"/>
        <w:pageBreakBefore w:val="0"/>
        <w:widowControl w:val="0"/>
        <w:kinsoku/>
        <w:wordWrap/>
        <w:overflowPunct/>
        <w:topLinePunct w:val="0"/>
        <w:autoSpaceDE/>
        <w:autoSpaceDN/>
        <w:bidi w:val="0"/>
        <w:adjustRightInd/>
        <w:snapToGrid/>
        <w:spacing w:line="341" w:lineRule="auto"/>
        <w:ind w:firstLine="422" w:firstLineChars="200"/>
        <w:textAlignment w:val="auto"/>
        <w:rPr>
          <w:rFonts w:cs="黑体" w:asciiTheme="minorEastAsia" w:hAnsiTheme="minorEastAsia"/>
        </w:rPr>
      </w:pPr>
      <w:r>
        <w:rPr>
          <w:rFonts w:hint="eastAsia" w:cs="黑体" w:asciiTheme="minorEastAsia" w:hAnsiTheme="minorEastAsia"/>
          <w:b/>
          <w:bCs/>
          <w:lang w:val="en-US" w:eastAsia="zh-CN"/>
        </w:rPr>
        <w:t>目标要求1：</w:t>
      </w:r>
      <w:r>
        <w:rPr>
          <w:rFonts w:hint="eastAsia" w:cs="黑体" w:asciiTheme="minorEastAsia" w:hAnsiTheme="minorEastAsia"/>
        </w:rPr>
        <w:t>具有扎实的数学、自然科学基础知识、工程基础知识以及基本的经济和管理知识；掌握化学、化学工程与技术学科的基础知识和专业知识；掌握现代工程工具和现代信息工具；了解与化学化工行业相关的国家的经济、环境、健康、安全、环保和可持续发展、法律、伦理等相关知识、方针、政策和法律；掌握创新方法论，掌握化工过程的工程管理原理与经济决策方法的相关知识；了解化学化工相关行业前沿技术的发展现状与未来趋势。</w:t>
      </w:r>
    </w:p>
    <w:p>
      <w:pPr>
        <w:keepNext w:val="0"/>
        <w:keepLines w:val="0"/>
        <w:pageBreakBefore w:val="0"/>
        <w:widowControl w:val="0"/>
        <w:kinsoku/>
        <w:wordWrap/>
        <w:overflowPunct/>
        <w:topLinePunct w:val="0"/>
        <w:autoSpaceDE/>
        <w:autoSpaceDN/>
        <w:bidi w:val="0"/>
        <w:adjustRightInd/>
        <w:snapToGrid/>
        <w:spacing w:line="341" w:lineRule="auto"/>
        <w:ind w:firstLine="422" w:firstLineChars="200"/>
        <w:textAlignment w:val="auto"/>
        <w:rPr>
          <w:rFonts w:cs="黑体" w:asciiTheme="minorEastAsia" w:hAnsiTheme="minorEastAsia"/>
        </w:rPr>
      </w:pPr>
      <w:r>
        <w:rPr>
          <w:rFonts w:hint="eastAsia" w:cs="黑体" w:asciiTheme="minorEastAsia" w:hAnsiTheme="minorEastAsia"/>
          <w:b/>
          <w:bCs/>
          <w:lang w:val="en-US" w:eastAsia="zh-CN"/>
        </w:rPr>
        <w:t>目标要求2：</w:t>
      </w:r>
      <w:r>
        <w:rPr>
          <w:rFonts w:hint="eastAsia" w:cs="黑体" w:asciiTheme="minorEastAsia" w:hAnsiTheme="minorEastAsia"/>
        </w:rPr>
        <w:t>具备对复杂化学工程问题进行分析并获得有效结论、提出解决方案的能力；具有综合运用化学工程与工艺专业的理论和技术手段，对新产品、新工艺、新技术和新设备进行化工过程、化工产品研发和综合设计的能力；具有一定的组织管理能力、表达和沟通能力并能在团队中发挥积极作用；具有国际化视野，能够进行跨文化的交流、竞争与合作能力；具有运用工程管理原理与经济决策方法对化学工程问题进行分析的能力；具有适应社会、经济、科技发展需要的终身学习能力。</w:t>
      </w:r>
    </w:p>
    <w:p>
      <w:pPr>
        <w:keepNext w:val="0"/>
        <w:keepLines w:val="0"/>
        <w:pageBreakBefore w:val="0"/>
        <w:widowControl w:val="0"/>
        <w:kinsoku/>
        <w:wordWrap/>
        <w:overflowPunct/>
        <w:topLinePunct w:val="0"/>
        <w:autoSpaceDE/>
        <w:autoSpaceDN/>
        <w:bidi w:val="0"/>
        <w:adjustRightInd/>
        <w:snapToGrid/>
        <w:spacing w:line="341" w:lineRule="auto"/>
        <w:ind w:firstLine="422" w:firstLineChars="200"/>
        <w:textAlignment w:val="auto"/>
        <w:rPr>
          <w:rFonts w:cs="黑体" w:asciiTheme="minorEastAsia" w:hAnsiTheme="minorEastAsia"/>
        </w:rPr>
      </w:pPr>
      <w:r>
        <w:rPr>
          <w:rFonts w:hint="eastAsia" w:cs="黑体" w:asciiTheme="minorEastAsia" w:hAnsiTheme="minorEastAsia"/>
          <w:b/>
          <w:bCs/>
          <w:lang w:val="en-US" w:eastAsia="zh-CN"/>
        </w:rPr>
        <w:t>目标要求3：</w:t>
      </w:r>
      <w:r>
        <w:rPr>
          <w:rFonts w:hint="eastAsia" w:cs="黑体" w:asciiTheme="minorEastAsia" w:hAnsiTheme="minorEastAsia"/>
        </w:rPr>
        <w:t>培养学生具备良好的人文社会科学素养和社会责任感；能够评价专业工程实践和复杂化学工程问题解决方案对社会、健康、安全、环境保护、法律以及文化的影响，并理解应承担的责任。</w:t>
      </w:r>
    </w:p>
    <w:p>
      <w:pPr>
        <w:spacing w:before="240" w:after="120" w:line="340" w:lineRule="auto"/>
        <w:rPr>
          <w:rFonts w:ascii="黑体" w:hAnsi="黑体" w:eastAsia="黑体" w:cs="黑体"/>
          <w:sz w:val="24"/>
        </w:rPr>
      </w:pPr>
      <w:r>
        <w:rPr>
          <w:rFonts w:hint="eastAsia" w:ascii="黑体" w:hAnsi="黑体" w:eastAsia="黑体" w:cs="黑体"/>
          <w:sz w:val="24"/>
        </w:rPr>
        <w:t>三、毕业要求</w:t>
      </w:r>
      <w:r>
        <w:rPr>
          <w:rFonts w:ascii="黑体" w:hAnsi="黑体" w:eastAsia="黑体" w:cs="黑体"/>
          <w:sz w:val="24"/>
        </w:rPr>
        <w:t>：</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GR1</w:t>
      </w:r>
      <w:r>
        <w:rPr>
          <w:rFonts w:ascii="Times New Roman" w:cs="Times New Roman" w:hAnsiTheme="minorEastAsia"/>
          <w:szCs w:val="21"/>
        </w:rPr>
        <w:t>）</w:t>
      </w:r>
      <w:r>
        <w:rPr>
          <w:rFonts w:hint="eastAsia" w:ascii="Times New Roman" w:cs="Times New Roman" w:hAnsiTheme="minorEastAsia"/>
          <w:szCs w:val="21"/>
        </w:rPr>
        <w:t>工程知识：能够将数学、自然科学、工程基础和专业知识用于解决复杂工程问题。</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GR2</w:t>
      </w:r>
      <w:r>
        <w:rPr>
          <w:rFonts w:ascii="Times New Roman" w:cs="Times New Roman" w:hAnsiTheme="minorEastAsia"/>
          <w:szCs w:val="21"/>
        </w:rPr>
        <w:t>）</w:t>
      </w:r>
      <w:r>
        <w:rPr>
          <w:bCs/>
          <w:szCs w:val="21"/>
        </w:rPr>
        <w:t>问题分析：</w:t>
      </w:r>
      <w:r>
        <w:rPr>
          <w:szCs w:val="21"/>
        </w:rPr>
        <w:t>能够应用数学、自然科学和工程科学的基本原理，识别、表达、并通过文献研究分析复杂工程问题，以获得有效结论</w:t>
      </w:r>
      <w:r>
        <w:rPr>
          <w:rFonts w:ascii="Times New Roman" w:hAnsi="Times New Roman" w:cs="Times New Roman"/>
          <w:szCs w:val="21"/>
        </w:rPr>
        <w:t>。</w:t>
      </w:r>
    </w:p>
    <w:p>
      <w:pPr>
        <w:spacing w:line="340" w:lineRule="auto"/>
        <w:ind w:firstLine="420"/>
        <w:rPr>
          <w:rFonts w:ascii="Times New Roman" w:cs="Times New Roman" w:hAnsiTheme="minorEastAsia"/>
          <w:szCs w:val="21"/>
        </w:rPr>
      </w:pPr>
      <w:r>
        <w:rPr>
          <w:rFonts w:ascii="Times New Roman" w:cs="Times New Roman" w:hAnsiTheme="minorEastAsia"/>
          <w:szCs w:val="21"/>
        </w:rPr>
        <w:t>（</w:t>
      </w:r>
      <w:r>
        <w:rPr>
          <w:rFonts w:ascii="Times New Roman" w:hAnsi="Times New Roman" w:cs="Times New Roman"/>
          <w:szCs w:val="21"/>
        </w:rPr>
        <w:t>GR3</w:t>
      </w:r>
      <w:r>
        <w:rPr>
          <w:rFonts w:ascii="Times New Roman" w:cs="Times New Roman" w:hAnsiTheme="minorEastAsia"/>
          <w:szCs w:val="21"/>
        </w:rPr>
        <w:t>）</w:t>
      </w:r>
      <w:r>
        <w:rPr>
          <w:rFonts w:hint="eastAsia" w:ascii="Times New Roman" w:cs="Times New Roman" w:hAnsiTheme="minorEastAsia"/>
          <w:szCs w:val="21"/>
        </w:rPr>
        <w:t>设计/开发解决方案：能够设计针对复杂工程问题的解决方案，设计满足特定需求的系统、单元（部件）或工艺流程，并能够在设计环节中体现创新意识，考虑社会、健康、安全、法律、文化以及环境等因素</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GR4</w:t>
      </w:r>
      <w:r>
        <w:rPr>
          <w:rFonts w:ascii="Times New Roman" w:cs="Times New Roman" w:hAnsiTheme="minorEastAsia"/>
          <w:szCs w:val="21"/>
        </w:rPr>
        <w:t>）</w:t>
      </w:r>
      <w:r>
        <w:rPr>
          <w:rFonts w:hint="eastAsia" w:ascii="Times New Roman" w:cs="Times New Roman" w:hAnsiTheme="minorEastAsia"/>
          <w:szCs w:val="21"/>
        </w:rPr>
        <w:t>研究：能够基于科学原理并采用科学方法对复杂化学工程问题进行研究，包括设计实验、分析与解释数据、并通过信息综合得到合理有效的结论</w:t>
      </w:r>
      <w:r>
        <w:rPr>
          <w:rFonts w:ascii="Times New Roman" w:hAnsi="Times New Roman" w:cs="Times New Roman"/>
          <w:szCs w:val="21"/>
        </w:rPr>
        <w:t>。</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GR5</w:t>
      </w:r>
      <w:r>
        <w:rPr>
          <w:rFonts w:ascii="Times New Roman" w:cs="Times New Roman" w:hAnsiTheme="minorEastAsia"/>
          <w:szCs w:val="21"/>
        </w:rPr>
        <w:t>）</w:t>
      </w:r>
      <w:r>
        <w:rPr>
          <w:bCs/>
          <w:szCs w:val="21"/>
        </w:rPr>
        <w:t>使用现代工具：能够针对复杂工程问题，开发、选择与使用恰当的技术、资源、现代工程工具和信息技术工具，包括对复杂工程问题的预测与模拟，并能够理解其局限性</w:t>
      </w:r>
      <w:r>
        <w:rPr>
          <w:rFonts w:ascii="Times New Roman" w:hAnsi="Times New Roman" w:cs="Times New Roman"/>
          <w:szCs w:val="21"/>
        </w:rPr>
        <w:t>。</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GR6</w:t>
      </w:r>
      <w:r>
        <w:rPr>
          <w:rFonts w:ascii="Times New Roman" w:cs="Times New Roman" w:hAnsiTheme="minorEastAsia"/>
          <w:szCs w:val="21"/>
        </w:rPr>
        <w:t>）</w:t>
      </w:r>
      <w:r>
        <w:rPr>
          <w:szCs w:val="21"/>
        </w:rPr>
        <w:t>工程与社会：能够基于</w:t>
      </w:r>
      <w:r>
        <w:rPr>
          <w:bCs/>
          <w:szCs w:val="21"/>
        </w:rPr>
        <w:t>工程相关背景知识进行合理分析，评价专业工程实践和复杂工程问题解决方案对社会、健康、安全、法律以及文化的影响，并理解应承担的责任</w:t>
      </w:r>
      <w:r>
        <w:rPr>
          <w:rFonts w:ascii="Times New Roman" w:hAnsi="Times New Roman" w:cs="Times New Roman"/>
          <w:szCs w:val="21"/>
        </w:rPr>
        <w:t>。</w:t>
      </w:r>
    </w:p>
    <w:p>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GR7</w:t>
      </w:r>
      <w:r>
        <w:rPr>
          <w:rFonts w:ascii="Times New Roman" w:cs="Times New Roman" w:hAnsiTheme="minorEastAsia"/>
          <w:szCs w:val="21"/>
        </w:rPr>
        <w:t>）</w:t>
      </w:r>
      <w:r>
        <w:rPr>
          <w:rFonts w:hint="eastAsia" w:ascii="Times New Roman" w:cs="Times New Roman" w:hAnsiTheme="minorEastAsia"/>
          <w:szCs w:val="21"/>
        </w:rPr>
        <w:t>环境和可持续发展：能够理解和评价针对复杂工程问题的工程实践对环境、社会可持续发展的影响</w:t>
      </w:r>
      <w:r>
        <w:rPr>
          <w:rFonts w:ascii="Times New Roman" w:hAnsi="Times New Roman" w:cs="Times New Roman"/>
          <w:szCs w:val="21"/>
        </w:rPr>
        <w:t>。</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GR8</w:t>
      </w:r>
      <w:r>
        <w:rPr>
          <w:rFonts w:ascii="Times New Roman" w:cs="Times New Roman" w:hAnsiTheme="minorEastAsia"/>
          <w:szCs w:val="21"/>
        </w:rPr>
        <w:t>）</w:t>
      </w:r>
      <w:r>
        <w:rPr>
          <w:szCs w:val="21"/>
        </w:rPr>
        <w:t>职业规范：具有人文社会科学素养、社会责任感，能够在工程实践中理解并遵守工程职业道德和规范，履行责任</w:t>
      </w:r>
      <w:r>
        <w:rPr>
          <w:rFonts w:ascii="Times New Roman" w:hAnsi="Times New Roman" w:cs="Times New Roman"/>
          <w:szCs w:val="21"/>
        </w:rPr>
        <w:t>。</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GR9</w:t>
      </w:r>
      <w:r>
        <w:rPr>
          <w:rFonts w:ascii="Times New Roman" w:cs="Times New Roman" w:hAnsiTheme="minorEastAsia"/>
          <w:szCs w:val="21"/>
        </w:rPr>
        <w:t>）</w:t>
      </w:r>
      <w:r>
        <w:rPr>
          <w:szCs w:val="21"/>
        </w:rPr>
        <w:t>个人和团队：能够在多学科背景下的团队中承担个体、团队成员以及负责人的角色</w:t>
      </w:r>
      <w:r>
        <w:rPr>
          <w:rFonts w:ascii="Times New Roman" w:cs="Times New Roman" w:hAnsiTheme="minorEastAsia"/>
          <w:szCs w:val="21"/>
        </w:rPr>
        <w:t>。</w:t>
      </w:r>
    </w:p>
    <w:p>
      <w:pPr>
        <w:spacing w:line="340" w:lineRule="auto"/>
        <w:ind w:firstLine="42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GR10</w:t>
      </w:r>
      <w:r>
        <w:rPr>
          <w:rFonts w:ascii="Times New Roman" w:cs="Times New Roman" w:hAnsiTheme="minorEastAsia"/>
          <w:szCs w:val="21"/>
        </w:rPr>
        <w:t>）</w:t>
      </w:r>
      <w:r>
        <w:rPr>
          <w:bCs/>
          <w:szCs w:val="21"/>
        </w:rPr>
        <w:t>沟通：能够就复杂工程问题与业界同行及社会公众进行有效沟通和交流，包括撰写报告和设计文稿、陈述发言、清晰表达或回应指令。并具备一定的国际视野，能够在跨文化背景下进行沟通和交流</w:t>
      </w:r>
      <w:r>
        <w:rPr>
          <w:rFonts w:ascii="Times New Roman" w:hAnsi="Times New Roman" w:cs="Times New Roman"/>
          <w:szCs w:val="21"/>
        </w:rPr>
        <w:t>。</w:t>
      </w:r>
    </w:p>
    <w:p>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GR11</w:t>
      </w:r>
      <w:r>
        <w:rPr>
          <w:rFonts w:ascii="Times New Roman" w:cs="Times New Roman" w:hAnsiTheme="minorEastAsia"/>
          <w:szCs w:val="21"/>
        </w:rPr>
        <w:t>）</w:t>
      </w:r>
      <w:r>
        <w:rPr>
          <w:szCs w:val="21"/>
        </w:rPr>
        <w:t>项目管理：理解并掌握工程管理原理与经济决策方法，并能在多学科环境中应用</w:t>
      </w:r>
      <w:r>
        <w:rPr>
          <w:rFonts w:ascii="Times New Roman" w:hAnsi="Times New Roman" w:cs="Times New Roman"/>
          <w:szCs w:val="21"/>
        </w:rPr>
        <w:t>。</w:t>
      </w:r>
    </w:p>
    <w:p>
      <w:pPr>
        <w:spacing w:line="340" w:lineRule="auto"/>
        <w:ind w:firstLine="420"/>
        <w:rPr>
          <w:rFonts w:cs="黑体" w:asciiTheme="minorEastAsia" w:hAnsiTheme="minorEastAsia"/>
          <w:color w:val="FF0000"/>
        </w:rPr>
      </w:pPr>
      <w:r>
        <w:rPr>
          <w:rFonts w:ascii="Times New Roman" w:cs="Times New Roman" w:hAnsiTheme="minorEastAsia"/>
          <w:szCs w:val="21"/>
        </w:rPr>
        <w:t>（</w:t>
      </w:r>
      <w:r>
        <w:rPr>
          <w:rFonts w:ascii="Times New Roman" w:hAnsi="Times New Roman" w:cs="Times New Roman"/>
          <w:szCs w:val="21"/>
        </w:rPr>
        <w:t>GR12</w:t>
      </w:r>
      <w:r>
        <w:rPr>
          <w:rFonts w:ascii="Times New Roman" w:cs="Times New Roman" w:hAnsiTheme="minorEastAsia"/>
          <w:szCs w:val="21"/>
        </w:rPr>
        <w:t>）</w:t>
      </w:r>
      <w:r>
        <w:rPr>
          <w:szCs w:val="21"/>
        </w:rPr>
        <w:t>终身学习：具有自主学习和终身学习的意识，有不断学习和适应发展的能力</w:t>
      </w:r>
      <w:r>
        <w:rPr>
          <w:rFonts w:ascii="Times New Roman" w:cs="Times New Roman" w:hAnsiTheme="minorEastAsia"/>
          <w:szCs w:val="21"/>
        </w:rPr>
        <w:t>。</w:t>
      </w:r>
    </w:p>
    <w:p>
      <w:pPr>
        <w:spacing w:before="240" w:after="120" w:line="340" w:lineRule="auto"/>
        <w:rPr>
          <w:rFonts w:ascii="黑体" w:hAnsi="黑体" w:eastAsia="黑体" w:cs="黑体"/>
          <w:sz w:val="24"/>
        </w:rPr>
      </w:pPr>
      <w:r>
        <w:rPr>
          <w:rFonts w:hint="eastAsia" w:ascii="黑体" w:hAnsi="黑体" w:eastAsia="黑体" w:cs="黑体"/>
          <w:sz w:val="24"/>
        </w:rPr>
        <w:t>四</w:t>
      </w:r>
      <w:r>
        <w:rPr>
          <w:rFonts w:ascii="黑体" w:hAnsi="黑体" w:eastAsia="黑体" w:cs="黑体"/>
          <w:sz w:val="24"/>
        </w:rPr>
        <w:t>、</w:t>
      </w:r>
      <w:r>
        <w:rPr>
          <w:rFonts w:hint="eastAsia" w:ascii="黑体" w:hAnsi="黑体" w:eastAsia="黑体" w:cs="黑体"/>
          <w:sz w:val="24"/>
        </w:rPr>
        <w:t>学制和</w:t>
      </w:r>
      <w:r>
        <w:rPr>
          <w:rFonts w:ascii="黑体" w:hAnsi="黑体" w:eastAsia="黑体" w:cs="黑体"/>
          <w:sz w:val="24"/>
        </w:rPr>
        <w:t>学位</w:t>
      </w:r>
      <w:r>
        <w:rPr>
          <w:rFonts w:hint="eastAsia" w:ascii="黑体" w:hAnsi="黑体" w:eastAsia="黑体" w:cs="黑体"/>
          <w:sz w:val="24"/>
        </w:rPr>
        <w:t xml:space="preserve">   </w:t>
      </w:r>
    </w:p>
    <w:p>
      <w:pPr>
        <w:spacing w:before="240" w:after="120" w:line="340" w:lineRule="auto"/>
        <w:ind w:firstLine="420"/>
        <w:rPr>
          <w:rFonts w:ascii="宋体" w:hAnsi="宋体" w:eastAsia="宋体" w:cs="宋体"/>
          <w:color w:val="FF0000"/>
        </w:rPr>
      </w:pPr>
      <w:r>
        <w:rPr>
          <w:rFonts w:ascii="宋体" w:hAnsi="宋体" w:eastAsia="宋体" w:cs="宋体"/>
        </w:rPr>
        <w:t>本专业标准学制为</w:t>
      </w:r>
      <w:r>
        <w:rPr>
          <w:rFonts w:ascii="Times New Roman" w:hAnsi="Times New Roman" w:eastAsia="Times New Roman" w:cs="Times New Roman"/>
        </w:rPr>
        <w:t>4</w:t>
      </w:r>
      <w:r>
        <w:rPr>
          <w:rFonts w:ascii="宋体" w:hAnsi="宋体" w:eastAsia="宋体" w:cs="宋体"/>
        </w:rPr>
        <w:t>年，学生可在</w:t>
      </w:r>
      <w:r>
        <w:rPr>
          <w:rFonts w:ascii="Times New Roman" w:hAnsi="Times New Roman" w:eastAsia="Times New Roman" w:cs="Times New Roman"/>
        </w:rPr>
        <w:t>3~6</w:t>
      </w:r>
      <w:r>
        <w:rPr>
          <w:rFonts w:ascii="宋体" w:hAnsi="宋体" w:eastAsia="宋体" w:cs="宋体"/>
        </w:rPr>
        <w:t>年内完成学业</w:t>
      </w:r>
      <w:r>
        <w:rPr>
          <w:rFonts w:hint="eastAsia" w:ascii="宋体" w:hAnsi="宋体" w:eastAsia="宋体" w:cs="宋体"/>
        </w:rPr>
        <w:t>。</w:t>
      </w:r>
      <w:r>
        <w:rPr>
          <w:rFonts w:ascii="宋体" w:hAnsi="宋体" w:eastAsia="宋体" w:cs="宋体"/>
          <w:color w:val="000000"/>
        </w:rPr>
        <w:t>本专业授予</w:t>
      </w:r>
      <w:r>
        <w:rPr>
          <w:rFonts w:hint="eastAsia" w:ascii="宋体" w:hAnsi="宋体" w:eastAsia="宋体" w:cs="宋体"/>
          <w:color w:val="000000"/>
        </w:rPr>
        <w:t>工</w:t>
      </w:r>
      <w:r>
        <w:rPr>
          <w:rFonts w:ascii="宋体" w:hAnsi="宋体" w:eastAsia="宋体" w:cs="宋体"/>
          <w:color w:val="000000"/>
        </w:rPr>
        <w:t>学学士学位。</w:t>
      </w:r>
    </w:p>
    <w:p>
      <w:pPr>
        <w:spacing w:before="240" w:after="120" w:line="330" w:lineRule="auto"/>
        <w:rPr>
          <w:rFonts w:ascii="黑体" w:hAnsi="黑体" w:eastAsia="黑体" w:cs="黑体"/>
          <w:sz w:val="24"/>
        </w:rPr>
      </w:pPr>
      <w:r>
        <w:rPr>
          <w:rFonts w:hint="eastAsia" w:ascii="黑体" w:hAnsi="黑体" w:eastAsia="黑体" w:cs="黑体"/>
          <w:sz w:val="24"/>
        </w:rPr>
        <w:t>五</w:t>
      </w:r>
      <w:r>
        <w:rPr>
          <w:rFonts w:ascii="黑体" w:hAnsi="黑体" w:eastAsia="黑体" w:cs="黑体"/>
          <w:sz w:val="24"/>
        </w:rPr>
        <w:t>、</w:t>
      </w:r>
      <w:r>
        <w:rPr>
          <w:rFonts w:hint="eastAsia" w:ascii="黑体" w:hAnsi="黑体" w:eastAsia="黑体" w:cs="黑体"/>
          <w:sz w:val="24"/>
        </w:rPr>
        <w:t>主干</w:t>
      </w:r>
      <w:r>
        <w:rPr>
          <w:rFonts w:ascii="黑体" w:hAnsi="黑体" w:eastAsia="黑体" w:cs="黑体"/>
          <w:sz w:val="24"/>
        </w:rPr>
        <w:t xml:space="preserve">学科和相关课程 </w:t>
      </w:r>
    </w:p>
    <w:p>
      <w:pPr>
        <w:spacing w:line="340" w:lineRule="auto"/>
        <w:ind w:firstLine="420"/>
        <w:rPr>
          <w:rFonts w:ascii="黑体" w:hAnsi="黑体" w:eastAsia="黑体" w:cs="黑体"/>
          <w:color w:val="000000"/>
          <w:szCs w:val="21"/>
        </w:rPr>
      </w:pPr>
      <w:r>
        <w:rPr>
          <w:rFonts w:ascii="黑体" w:hAnsi="黑体" w:eastAsia="黑体" w:cs="黑体"/>
        </w:rPr>
        <w:t>主干学科：</w:t>
      </w:r>
      <w:r>
        <w:rPr>
          <w:rFonts w:ascii="Times New Roman" w:hAnsi="Times New Roman"/>
          <w:szCs w:val="21"/>
        </w:rPr>
        <w:t>化学工程与</w:t>
      </w:r>
      <w:r>
        <w:rPr>
          <w:rFonts w:hint="eastAsia" w:ascii="Times New Roman" w:hAnsi="Times New Roman"/>
          <w:szCs w:val="21"/>
        </w:rPr>
        <w:t>技术</w:t>
      </w:r>
      <w:r>
        <w:rPr>
          <w:rFonts w:ascii="Times New Roman" w:hAnsi="Times New Roman"/>
          <w:szCs w:val="21"/>
        </w:rPr>
        <w:t>、化学</w:t>
      </w:r>
    </w:p>
    <w:p>
      <w:pPr>
        <w:spacing w:line="340" w:lineRule="auto"/>
        <w:ind w:firstLine="420"/>
        <w:rPr>
          <w:rFonts w:ascii="黑体" w:hAnsi="黑体" w:eastAsia="黑体" w:cs="黑体"/>
          <w:color w:val="000000"/>
          <w:szCs w:val="21"/>
        </w:rPr>
      </w:pPr>
      <w:r>
        <w:rPr>
          <w:rFonts w:hint="eastAsia" w:ascii="黑体" w:hAnsi="黑体" w:eastAsia="黑体" w:cs="黑体"/>
          <w:color w:val="000000" w:themeColor="text1"/>
          <w:szCs w:val="21"/>
          <w14:textFill>
            <w14:solidFill>
              <w14:schemeClr w14:val="tx1"/>
            </w14:solidFill>
          </w14:textFill>
        </w:rPr>
        <w:t>核心</w:t>
      </w:r>
      <w:r>
        <w:rPr>
          <w:rFonts w:ascii="黑体" w:hAnsi="黑体" w:eastAsia="黑体" w:cs="黑体"/>
          <w:color w:val="000000" w:themeColor="text1"/>
          <w:szCs w:val="21"/>
          <w14:textFill>
            <w14:solidFill>
              <w14:schemeClr w14:val="tx1"/>
            </w14:solidFill>
          </w14:textFill>
        </w:rPr>
        <w:t>课程</w:t>
      </w:r>
      <w:r>
        <w:rPr>
          <w:rFonts w:ascii="黑体" w:hAnsi="黑体" w:eastAsia="黑体" w:cs="黑体"/>
          <w:szCs w:val="21"/>
        </w:rPr>
        <w:t>：</w:t>
      </w:r>
      <w:r>
        <w:rPr>
          <w:rFonts w:ascii="Times New Roman" w:hAnsi="Times New Roman"/>
          <w:szCs w:val="21"/>
        </w:rPr>
        <w:t>化工原理</w:t>
      </w:r>
      <w:r>
        <w:rPr>
          <w:rFonts w:hint="eastAsia" w:ascii="Times New Roman" w:hAnsi="Times New Roman"/>
          <w:szCs w:val="21"/>
        </w:rPr>
        <w:t>A</w:t>
      </w:r>
      <w:r>
        <w:rPr>
          <w:rFonts w:ascii="Times New Roman" w:hAnsi="Times New Roman"/>
          <w:szCs w:val="21"/>
        </w:rPr>
        <w:t>、化工热力学、化学反应工程、化学工艺学、化工设计、化工过程分析与合成等</w:t>
      </w:r>
    </w:p>
    <w:p>
      <w:pPr>
        <w:spacing w:line="440" w:lineRule="exact"/>
        <w:ind w:firstLine="420" w:firstLineChars="200"/>
        <w:rPr>
          <w:rFonts w:ascii="Times New Roman" w:hAnsi="Times New Roman"/>
          <w:szCs w:val="21"/>
        </w:rPr>
      </w:pPr>
      <w:r>
        <w:rPr>
          <w:rFonts w:ascii="黑体" w:hAnsi="黑体" w:eastAsia="黑体" w:cs="黑体"/>
          <w:szCs w:val="21"/>
        </w:rPr>
        <w:t>特色课程：</w:t>
      </w:r>
      <w:r>
        <w:rPr>
          <w:rFonts w:ascii="Times New Roman" w:hAnsi="Times New Roman"/>
          <w:szCs w:val="21"/>
        </w:rPr>
        <w:t>化工实习实训、化工原理</w:t>
      </w:r>
      <w:r>
        <w:rPr>
          <w:rFonts w:hint="eastAsia" w:ascii="Times New Roman" w:hAnsi="Times New Roman"/>
          <w:szCs w:val="21"/>
        </w:rPr>
        <w:t>A</w:t>
      </w:r>
      <w:r>
        <w:rPr>
          <w:rFonts w:ascii="Times New Roman" w:hAnsi="Times New Roman"/>
          <w:szCs w:val="21"/>
        </w:rPr>
        <w:t>、</w:t>
      </w:r>
      <w:r>
        <w:rPr>
          <w:rFonts w:hint="eastAsia" w:ascii="Times New Roman" w:hAnsi="Times New Roman"/>
          <w:szCs w:val="21"/>
        </w:rPr>
        <w:t>化工热力学、</w:t>
      </w:r>
      <w:r>
        <w:rPr>
          <w:rFonts w:ascii="Times New Roman" w:hAnsi="Times New Roman"/>
          <w:szCs w:val="21"/>
        </w:rPr>
        <w:t>化学反应工程</w:t>
      </w:r>
    </w:p>
    <w:p>
      <w:pPr>
        <w:spacing w:line="330" w:lineRule="auto"/>
        <w:ind w:firstLine="420"/>
        <w:rPr>
          <w:rFonts w:ascii="Times New Roman" w:hAnsi="Times New Roman" w:eastAsia="Times New Roman" w:cs="Times New Roman"/>
        </w:rPr>
      </w:pPr>
      <w:r>
        <w:rPr>
          <w:rFonts w:ascii="Times New Roman" w:hAnsi="黑体" w:eastAsia="黑体" w:cs="Times New Roman"/>
        </w:rPr>
        <w:t>辅修专业课程模块：共</w:t>
      </w:r>
      <w:r>
        <w:rPr>
          <w:rFonts w:ascii="Times New Roman" w:hAnsi="Times New Roman" w:eastAsia="Times New Roman" w:cs="Times New Roman"/>
        </w:rPr>
        <w:t>30</w:t>
      </w:r>
      <w:r>
        <w:rPr>
          <w:rFonts w:ascii="Times New Roman" w:hAnsi="黑体" w:eastAsia="黑体" w:cs="Times New Roman"/>
        </w:rPr>
        <w:t>学分。</w:t>
      </w:r>
    </w:p>
    <w:p>
      <w:pPr>
        <w:spacing w:line="330" w:lineRule="auto"/>
        <w:ind w:firstLine="420"/>
        <w:rPr>
          <w:rFonts w:ascii="Times New Roman" w:hAnsi="Times New Roman" w:eastAsia="黑体" w:cs="Times New Roman"/>
        </w:rPr>
      </w:pPr>
      <w:r>
        <w:rPr>
          <w:rFonts w:ascii="Times New Roman" w:cs="Times New Roman"/>
        </w:rPr>
        <w:t>课程名称：无机化学（</w:t>
      </w:r>
      <w:r>
        <w:rPr>
          <w:rFonts w:ascii="Times New Roman" w:hAnsi="Times New Roman" w:cs="Times New Roman"/>
        </w:rPr>
        <w:t>64</w:t>
      </w:r>
      <w:r>
        <w:rPr>
          <w:rFonts w:ascii="Times New Roman" w:cs="Times New Roman"/>
        </w:rPr>
        <w:t>学时</w:t>
      </w:r>
      <w:r>
        <w:rPr>
          <w:rFonts w:ascii="Times New Roman" w:hAnsi="Times New Roman" w:cs="Times New Roman"/>
        </w:rPr>
        <w:t>4</w:t>
      </w:r>
      <w:r>
        <w:rPr>
          <w:rFonts w:ascii="Times New Roman" w:cs="Times New Roman"/>
        </w:rPr>
        <w:t>学分）、分析化学（</w:t>
      </w:r>
      <w:r>
        <w:rPr>
          <w:rFonts w:ascii="Times New Roman" w:hAnsi="Times New Roman" w:cs="Times New Roman"/>
        </w:rPr>
        <w:t>32</w:t>
      </w:r>
      <w:r>
        <w:rPr>
          <w:rFonts w:ascii="Times New Roman" w:cs="Times New Roman"/>
        </w:rPr>
        <w:t>学时</w:t>
      </w:r>
      <w:r>
        <w:rPr>
          <w:rFonts w:ascii="Times New Roman" w:hAnsi="Times New Roman" w:cs="Times New Roman"/>
        </w:rPr>
        <w:t>2</w:t>
      </w:r>
      <w:r>
        <w:rPr>
          <w:rFonts w:ascii="Times New Roman" w:cs="Times New Roman"/>
        </w:rPr>
        <w:t>学分）、有机化学（</w:t>
      </w:r>
      <w:r>
        <w:rPr>
          <w:rFonts w:ascii="Times New Roman" w:hAnsi="Times New Roman" w:cs="Times New Roman"/>
        </w:rPr>
        <w:t>80</w:t>
      </w:r>
      <w:r>
        <w:rPr>
          <w:rFonts w:ascii="Times New Roman" w:cs="Times New Roman"/>
        </w:rPr>
        <w:t>学时</w:t>
      </w:r>
      <w:r>
        <w:rPr>
          <w:rFonts w:ascii="Times New Roman" w:hAnsi="Times New Roman" w:cs="Times New Roman"/>
        </w:rPr>
        <w:t>5</w:t>
      </w:r>
      <w:r>
        <w:rPr>
          <w:rFonts w:ascii="Times New Roman" w:cs="Times New Roman"/>
        </w:rPr>
        <w:t>学分）、物理化学（</w:t>
      </w:r>
      <w:r>
        <w:rPr>
          <w:rFonts w:ascii="Times New Roman" w:hAnsi="Times New Roman" w:cs="Times New Roman"/>
        </w:rPr>
        <w:t>80</w:t>
      </w:r>
      <w:r>
        <w:rPr>
          <w:rFonts w:ascii="Times New Roman" w:cs="Times New Roman"/>
        </w:rPr>
        <w:t>学时</w:t>
      </w:r>
      <w:r>
        <w:rPr>
          <w:rFonts w:ascii="Times New Roman" w:hAnsi="Times New Roman" w:cs="Times New Roman"/>
        </w:rPr>
        <w:t>5</w:t>
      </w:r>
      <w:r>
        <w:rPr>
          <w:rFonts w:ascii="Times New Roman" w:cs="Times New Roman"/>
        </w:rPr>
        <w:t>学分）、化工原理</w:t>
      </w:r>
      <w:r>
        <w:rPr>
          <w:rFonts w:hint="eastAsia" w:ascii="Times New Roman" w:cs="Times New Roman"/>
        </w:rPr>
        <w:t>A</w:t>
      </w:r>
      <w:r>
        <w:rPr>
          <w:rFonts w:ascii="Times New Roman" w:cs="Times New Roman"/>
        </w:rPr>
        <w:t>（</w:t>
      </w:r>
      <w:r>
        <w:rPr>
          <w:rFonts w:ascii="Times New Roman" w:hAnsi="Times New Roman" w:cs="Times New Roman"/>
        </w:rPr>
        <w:t>96</w:t>
      </w:r>
      <w:r>
        <w:rPr>
          <w:rFonts w:ascii="Times New Roman" w:cs="Times New Roman"/>
        </w:rPr>
        <w:t>学时</w:t>
      </w:r>
      <w:r>
        <w:rPr>
          <w:rFonts w:ascii="Times New Roman" w:hAnsi="Times New Roman" w:cs="Times New Roman"/>
        </w:rPr>
        <w:t>6</w:t>
      </w:r>
      <w:r>
        <w:rPr>
          <w:rFonts w:ascii="Times New Roman" w:cs="Times New Roman"/>
        </w:rPr>
        <w:t>学分）、化工热力学（</w:t>
      </w:r>
      <w:r>
        <w:rPr>
          <w:rFonts w:ascii="Times New Roman" w:hAnsi="Times New Roman" w:cs="Times New Roman"/>
        </w:rPr>
        <w:t>48</w:t>
      </w:r>
      <w:r>
        <w:rPr>
          <w:rFonts w:ascii="Times New Roman" w:cs="Times New Roman"/>
        </w:rPr>
        <w:t>学时</w:t>
      </w:r>
      <w:r>
        <w:rPr>
          <w:rFonts w:ascii="Times New Roman" w:hAnsi="Times New Roman" w:cs="Times New Roman"/>
        </w:rPr>
        <w:t>3</w:t>
      </w:r>
      <w:r>
        <w:rPr>
          <w:rFonts w:ascii="Times New Roman" w:cs="Times New Roman"/>
        </w:rPr>
        <w:t>学分）、化学反应工程（</w:t>
      </w:r>
      <w:r>
        <w:rPr>
          <w:rFonts w:ascii="Times New Roman" w:hAnsi="Times New Roman" w:cs="Times New Roman"/>
        </w:rPr>
        <w:t>48</w:t>
      </w:r>
      <w:r>
        <w:rPr>
          <w:rFonts w:ascii="Times New Roman" w:cs="Times New Roman"/>
        </w:rPr>
        <w:t>学时</w:t>
      </w:r>
      <w:r>
        <w:rPr>
          <w:rFonts w:ascii="Times New Roman" w:hAnsi="Times New Roman" w:cs="Times New Roman"/>
        </w:rPr>
        <w:t>3</w:t>
      </w:r>
      <w:r>
        <w:rPr>
          <w:rFonts w:ascii="Times New Roman" w:cs="Times New Roman"/>
        </w:rPr>
        <w:t>学分）、化学工艺学（</w:t>
      </w:r>
      <w:r>
        <w:rPr>
          <w:rFonts w:ascii="Times New Roman" w:hAnsi="Times New Roman" w:cs="Times New Roman"/>
        </w:rPr>
        <w:t>32</w:t>
      </w:r>
      <w:r>
        <w:rPr>
          <w:rFonts w:ascii="Times New Roman" w:cs="Times New Roman"/>
        </w:rPr>
        <w:t>学时</w:t>
      </w:r>
      <w:r>
        <w:rPr>
          <w:rFonts w:ascii="Times New Roman" w:hAnsi="Times New Roman" w:cs="Times New Roman"/>
        </w:rPr>
        <w:t>2</w:t>
      </w:r>
      <w:r>
        <w:rPr>
          <w:rFonts w:ascii="Times New Roman" w:cs="Times New Roman"/>
        </w:rPr>
        <w:t>学分）</w:t>
      </w:r>
    </w:p>
    <w:p>
      <w:pPr>
        <w:spacing w:line="330" w:lineRule="auto"/>
        <w:ind w:firstLine="420"/>
        <w:rPr>
          <w:rFonts w:ascii="Times New Roman" w:hAnsi="黑体" w:eastAsia="黑体" w:cs="Times New Roman"/>
        </w:rPr>
      </w:pPr>
      <w:r>
        <w:rPr>
          <w:rFonts w:ascii="Times New Roman" w:hAnsi="黑体" w:eastAsia="黑体" w:cs="Times New Roman"/>
        </w:rPr>
        <w:t>专业选修课程模块：共</w:t>
      </w:r>
      <w:r>
        <w:rPr>
          <w:rFonts w:ascii="Times New Roman" w:hAnsi="Times New Roman" w:cs="Times New Roman"/>
        </w:rPr>
        <w:t>56.5</w:t>
      </w:r>
      <w:r>
        <w:rPr>
          <w:rFonts w:ascii="Times New Roman" w:hAnsi="黑体" w:eastAsia="黑体" w:cs="Times New Roman"/>
        </w:rPr>
        <w:t>学分</w:t>
      </w:r>
      <w:r>
        <w:rPr>
          <w:rFonts w:hint="eastAsia" w:ascii="Times New Roman" w:hAnsi="黑体" w:eastAsia="黑体" w:cs="Times New Roman"/>
        </w:rPr>
        <w:t>，选修不低于3</w:t>
      </w:r>
      <w:r>
        <w:rPr>
          <w:rFonts w:ascii="Times New Roman" w:hAnsi="黑体" w:eastAsia="黑体" w:cs="Times New Roman"/>
        </w:rPr>
        <w:t>0.5</w:t>
      </w:r>
      <w:r>
        <w:rPr>
          <w:rFonts w:hint="eastAsia" w:ascii="Times New Roman" w:hAnsi="黑体" w:eastAsia="黑体" w:cs="Times New Roman"/>
        </w:rPr>
        <w:t>学分</w:t>
      </w:r>
      <w:r>
        <w:rPr>
          <w:rFonts w:ascii="Times New Roman" w:hAnsi="黑体" w:eastAsia="黑体" w:cs="Times New Roman"/>
        </w:rPr>
        <w:t>。</w:t>
      </w:r>
    </w:p>
    <w:p>
      <w:pPr>
        <w:spacing w:line="330" w:lineRule="auto"/>
        <w:ind w:firstLine="420"/>
        <w:rPr>
          <w:rFonts w:ascii="Times New Roman" w:hAnsi="Times New Roman" w:cs="Times New Roman"/>
        </w:rPr>
      </w:pPr>
      <w:r>
        <w:rPr>
          <w:rFonts w:hint="eastAsia" w:ascii="Times New Roman" w:cs="Times New Roman" w:hAnsiTheme="minorEastAsia"/>
        </w:rPr>
        <w:t>化学工程模块</w:t>
      </w:r>
      <w:r>
        <w:rPr>
          <w:rFonts w:ascii="Times New Roman" w:cs="Times New Roman" w:hAnsiTheme="minorEastAsia"/>
        </w:rPr>
        <w:t>：共</w:t>
      </w:r>
      <w:r>
        <w:rPr>
          <w:rFonts w:ascii="Times New Roman" w:hAnsi="Times New Roman" w:cs="Times New Roman"/>
        </w:rPr>
        <w:t>4.5</w:t>
      </w:r>
      <w:r>
        <w:rPr>
          <w:rFonts w:ascii="Times New Roman" w:cs="Times New Roman" w:hAnsiTheme="minorEastAsia"/>
        </w:rPr>
        <w:t>学分，化工传递过程（</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w:t>
      </w:r>
      <w:r>
        <w:rPr>
          <w:rFonts w:hint="eastAsia" w:ascii="Times New Roman" w:cs="Times New Roman" w:hAnsiTheme="minorEastAsia"/>
        </w:rPr>
        <w:t>过程工程导论（双语）</w:t>
      </w:r>
      <w:r>
        <w:rPr>
          <w:rFonts w:ascii="Times New Roman" w:cs="Times New Roman" w:hAnsiTheme="minorEastAsia"/>
        </w:rPr>
        <w:t>（</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学分），化工过程模拟计算（</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w:t>
      </w:r>
      <w:r>
        <w:rPr>
          <w:rFonts w:hint="eastAsia" w:ascii="Times New Roman" w:cs="Times New Roman" w:hAnsiTheme="minorEastAsia"/>
        </w:rPr>
        <w:t>等课程</w:t>
      </w:r>
      <w:r>
        <w:rPr>
          <w:rFonts w:ascii="Times New Roman" w:cs="Times New Roman" w:hAnsiTheme="minorEastAsia"/>
        </w:rPr>
        <w:t>。</w:t>
      </w:r>
    </w:p>
    <w:p>
      <w:pPr>
        <w:spacing w:line="330" w:lineRule="auto"/>
        <w:ind w:firstLine="420"/>
        <w:rPr>
          <w:rFonts w:ascii="Times New Roman" w:hAnsi="Times New Roman" w:cs="Times New Roman"/>
        </w:rPr>
      </w:pPr>
      <w:r>
        <w:rPr>
          <w:rFonts w:hint="eastAsia" w:ascii="Times New Roman" w:cs="Times New Roman" w:hAnsiTheme="minorEastAsia"/>
        </w:rPr>
        <w:t>化学工艺模块</w:t>
      </w:r>
      <w:r>
        <w:rPr>
          <w:rFonts w:ascii="Times New Roman" w:cs="Times New Roman" w:hAnsiTheme="minorEastAsia"/>
        </w:rPr>
        <w:t>：共</w:t>
      </w:r>
      <w:r>
        <w:rPr>
          <w:rFonts w:ascii="Times New Roman" w:hAnsi="Times New Roman" w:cs="Times New Roman"/>
        </w:rPr>
        <w:t>4.5</w:t>
      </w:r>
      <w:r>
        <w:rPr>
          <w:rFonts w:ascii="Times New Roman" w:cs="Times New Roman" w:hAnsiTheme="minorEastAsia"/>
        </w:rPr>
        <w:t>学分，煤化工工艺学（</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学分），无机化工工艺学（</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学分），精细化工工艺学（</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w:t>
      </w:r>
      <w:r>
        <w:rPr>
          <w:rFonts w:hint="eastAsia" w:ascii="Times New Roman" w:cs="Times New Roman" w:hAnsiTheme="minorEastAsia"/>
        </w:rPr>
        <w:t>等课程</w:t>
      </w:r>
      <w:r>
        <w:rPr>
          <w:rFonts w:ascii="Times New Roman" w:cs="Times New Roman" w:hAnsiTheme="minorEastAsia"/>
        </w:rPr>
        <w:t>。</w:t>
      </w:r>
    </w:p>
    <w:p>
      <w:pPr>
        <w:spacing w:line="330" w:lineRule="auto"/>
        <w:ind w:firstLine="420"/>
        <w:rPr>
          <w:rFonts w:ascii="黑体" w:hAnsi="黑体" w:eastAsia="黑体" w:cs="黑体"/>
        </w:rPr>
      </w:pPr>
      <w:r>
        <w:rPr>
          <w:rFonts w:hint="eastAsia" w:ascii="Times New Roman" w:cs="Times New Roman" w:hAnsiTheme="minorEastAsia"/>
        </w:rPr>
        <w:t>材料化工模块</w:t>
      </w:r>
      <w:r>
        <w:rPr>
          <w:rFonts w:ascii="Times New Roman" w:cs="Times New Roman" w:hAnsiTheme="minorEastAsia"/>
        </w:rPr>
        <w:t>：共</w:t>
      </w:r>
      <w:r>
        <w:rPr>
          <w:rFonts w:ascii="Times New Roman" w:hAnsi="Times New Roman" w:cs="Times New Roman"/>
        </w:rPr>
        <w:t>4.5</w:t>
      </w:r>
      <w:r>
        <w:rPr>
          <w:rFonts w:ascii="Times New Roman" w:cs="Times New Roman" w:hAnsiTheme="minorEastAsia"/>
        </w:rPr>
        <w:t>学分，结晶化学</w:t>
      </w:r>
      <w:r>
        <w:rPr>
          <w:rFonts w:hint="eastAsia" w:ascii="Times New Roman" w:cs="Times New Roman" w:hAnsiTheme="minorEastAsia"/>
        </w:rPr>
        <w:t>导论</w:t>
      </w:r>
      <w:r>
        <w:rPr>
          <w:rFonts w:ascii="Times New Roman" w:cs="Times New Roman" w:hAnsiTheme="minorEastAsia"/>
        </w:rPr>
        <w:t>（</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w:t>
      </w:r>
      <w:r>
        <w:rPr>
          <w:rFonts w:hint="eastAsia" w:ascii="Times New Roman" w:cs="Times New Roman" w:hAnsiTheme="minorEastAsia"/>
        </w:rPr>
        <w:t>无机材料制备技术</w:t>
      </w:r>
      <w:r>
        <w:rPr>
          <w:rFonts w:ascii="Times New Roman" w:cs="Times New Roman" w:hAnsiTheme="minorEastAsia"/>
        </w:rPr>
        <w:t>（</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w:t>
      </w:r>
      <w:r>
        <w:rPr>
          <w:rFonts w:hint="eastAsia" w:ascii="Times New Roman" w:cs="Times New Roman" w:hAnsiTheme="minorEastAsia"/>
        </w:rPr>
        <w:t>、</w:t>
      </w:r>
      <w:r>
        <w:rPr>
          <w:rFonts w:ascii="Times New Roman" w:cs="Times New Roman" w:hAnsiTheme="minorEastAsia"/>
        </w:rPr>
        <w:t>绿色化学与化工（</w:t>
      </w:r>
      <w:r>
        <w:rPr>
          <w:rFonts w:ascii="Times New Roman" w:hAnsi="Times New Roman" w:cs="Times New Roman"/>
        </w:rPr>
        <w:t>24</w:t>
      </w:r>
      <w:r>
        <w:rPr>
          <w:rFonts w:ascii="Times New Roman" w:cs="Times New Roman" w:hAnsiTheme="minorEastAsia"/>
        </w:rPr>
        <w:t>学时</w:t>
      </w:r>
      <w:r>
        <w:rPr>
          <w:rFonts w:ascii="Times New Roman" w:hAnsi="Times New Roman" w:cs="Times New Roman"/>
        </w:rPr>
        <w:t>1.5</w:t>
      </w:r>
      <w:r>
        <w:rPr>
          <w:rFonts w:ascii="Times New Roman" w:cs="Times New Roman" w:hAnsiTheme="minorEastAsia"/>
        </w:rPr>
        <w:t>学分）</w:t>
      </w:r>
      <w:r>
        <w:rPr>
          <w:rFonts w:hint="eastAsia" w:ascii="Times New Roman" w:cs="Times New Roman" w:hAnsiTheme="minorEastAsia"/>
        </w:rPr>
        <w:t>等课程</w:t>
      </w:r>
      <w:r>
        <w:rPr>
          <w:rFonts w:ascii="Times New Roman" w:cs="Times New Roman" w:hAnsiTheme="minorEastAsia"/>
        </w:rPr>
        <w:t>。</w:t>
      </w:r>
    </w:p>
    <w:p>
      <w:pPr>
        <w:spacing w:before="240" w:after="120" w:line="330" w:lineRule="auto"/>
        <w:rPr>
          <w:rFonts w:ascii="黑体" w:hAnsi="黑体" w:eastAsia="黑体" w:cs="黑体"/>
          <w:sz w:val="24"/>
        </w:rPr>
      </w:pPr>
      <w:r>
        <w:rPr>
          <w:rFonts w:hint="eastAsia" w:ascii="黑体" w:hAnsi="黑体" w:eastAsia="黑体" w:cs="黑体"/>
          <w:sz w:val="24"/>
        </w:rPr>
        <w:t>六</w:t>
      </w:r>
      <w:r>
        <w:rPr>
          <w:rFonts w:ascii="黑体" w:hAnsi="黑体" w:eastAsia="黑体" w:cs="黑体"/>
          <w:sz w:val="24"/>
        </w:rPr>
        <w:t>、课程地图</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574"/>
        <w:gridCol w:w="574"/>
        <w:gridCol w:w="573"/>
        <w:gridCol w:w="573"/>
        <w:gridCol w:w="573"/>
        <w:gridCol w:w="573"/>
        <w:gridCol w:w="573"/>
        <w:gridCol w:w="573"/>
        <w:gridCol w:w="573"/>
        <w:gridCol w:w="655"/>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tcBorders>
              <w:tl2br w:val="single" w:color="auto" w:sz="4" w:space="0"/>
            </w:tcBorders>
            <w:vAlign w:val="center"/>
          </w:tcPr>
          <w:p>
            <w:pPr>
              <w:jc w:val="center"/>
              <w:rPr>
                <w:rFonts w:ascii="宋体" w:hAnsi="宋体"/>
                <w:szCs w:val="21"/>
              </w:rPr>
            </w:pPr>
            <w:r>
              <w:rPr>
                <w:rFonts w:hint="eastAsia" w:ascii="宋体" w:hAnsi="宋体"/>
                <w:szCs w:val="21"/>
              </w:rPr>
              <w:t xml:space="preserve"> </w:t>
            </w:r>
            <w:r>
              <w:rPr>
                <w:rFonts w:ascii="宋体" w:hAnsi="宋体"/>
                <w:szCs w:val="21"/>
              </w:rPr>
              <w:t xml:space="preserve">   毕业要求</w:t>
            </w:r>
          </w:p>
          <w:p>
            <w:pPr>
              <w:rPr>
                <w:rFonts w:ascii="宋体" w:hAnsi="宋体"/>
                <w:szCs w:val="21"/>
              </w:rPr>
            </w:pPr>
          </w:p>
          <w:p>
            <w:pPr>
              <w:rPr>
                <w:rFonts w:ascii="宋体" w:hAnsi="宋体"/>
                <w:szCs w:val="21"/>
              </w:rPr>
            </w:pPr>
            <w:r>
              <w:rPr>
                <w:rFonts w:hint="eastAsia" w:ascii="宋体" w:hAnsi="宋体"/>
                <w:szCs w:val="21"/>
              </w:rPr>
              <w:t>课程</w:t>
            </w:r>
          </w:p>
        </w:tc>
        <w:tc>
          <w:tcPr>
            <w:tcW w:w="574" w:type="dxa"/>
            <w:vAlign w:val="center"/>
          </w:tcPr>
          <w:p>
            <w:pPr>
              <w:jc w:val="center"/>
              <w:rPr>
                <w:rFonts w:ascii="Times New Roman" w:hAnsi="Times New Roman" w:cs="Times New Roman"/>
                <w:bCs/>
                <w:sz w:val="18"/>
                <w:szCs w:val="18"/>
              </w:rPr>
            </w:pPr>
            <w:r>
              <w:rPr>
                <w:rFonts w:ascii="Times New Roman" w:hAnsi="Times New Roman" w:cs="Times New Roman"/>
                <w:bCs/>
                <w:sz w:val="18"/>
                <w:szCs w:val="18"/>
              </w:rPr>
              <w:t xml:space="preserve">GR1 </w:t>
            </w:r>
          </w:p>
        </w:tc>
        <w:tc>
          <w:tcPr>
            <w:tcW w:w="574" w:type="dxa"/>
            <w:vAlign w:val="center"/>
          </w:tcPr>
          <w:p>
            <w:pPr>
              <w:jc w:val="center"/>
              <w:rPr>
                <w:rFonts w:ascii="Times New Roman" w:hAnsi="Times New Roman" w:cs="Times New Roman"/>
                <w:sz w:val="18"/>
                <w:szCs w:val="18"/>
              </w:rPr>
            </w:pPr>
            <w:r>
              <w:rPr>
                <w:rFonts w:ascii="Times New Roman" w:hAnsi="Times New Roman" w:cs="Times New Roman"/>
                <w:bCs/>
                <w:sz w:val="18"/>
                <w:szCs w:val="18"/>
              </w:rPr>
              <w:t>GR2</w:t>
            </w:r>
            <w:r>
              <w:rPr>
                <w:rFonts w:ascii="Times New Roman" w:hAnsi="Times New Roman" w:cs="Times New Roman"/>
                <w:sz w:val="18"/>
                <w:szCs w:val="18"/>
              </w:rPr>
              <w:t xml:space="preserve"> </w:t>
            </w:r>
          </w:p>
        </w:tc>
        <w:tc>
          <w:tcPr>
            <w:tcW w:w="573" w:type="dxa"/>
            <w:vAlign w:val="center"/>
          </w:tcPr>
          <w:p>
            <w:pPr>
              <w:jc w:val="center"/>
              <w:rPr>
                <w:rFonts w:ascii="Times New Roman" w:hAnsi="Times New Roman" w:cs="Times New Roman"/>
                <w:sz w:val="18"/>
                <w:szCs w:val="18"/>
              </w:rPr>
            </w:pPr>
            <w:r>
              <w:rPr>
                <w:rFonts w:ascii="Times New Roman" w:hAnsi="Times New Roman" w:cs="Times New Roman"/>
                <w:bCs/>
                <w:sz w:val="18"/>
                <w:szCs w:val="18"/>
              </w:rPr>
              <w:t>GR3</w:t>
            </w:r>
            <w:r>
              <w:rPr>
                <w:rFonts w:ascii="Times New Roman" w:hAnsi="Times New Roman" w:cs="Times New Roman"/>
                <w:sz w:val="18"/>
                <w:szCs w:val="18"/>
              </w:rPr>
              <w:t xml:space="preserve"> </w:t>
            </w:r>
          </w:p>
        </w:tc>
        <w:tc>
          <w:tcPr>
            <w:tcW w:w="573" w:type="dxa"/>
            <w:vAlign w:val="center"/>
          </w:tcPr>
          <w:p>
            <w:pPr>
              <w:jc w:val="center"/>
              <w:rPr>
                <w:rFonts w:ascii="Times New Roman" w:hAnsi="Times New Roman" w:cs="Times New Roman"/>
                <w:sz w:val="18"/>
                <w:szCs w:val="18"/>
              </w:rPr>
            </w:pPr>
            <w:r>
              <w:rPr>
                <w:rFonts w:ascii="Times New Roman" w:hAnsi="Times New Roman" w:cs="Times New Roman"/>
                <w:bCs/>
                <w:sz w:val="18"/>
                <w:szCs w:val="18"/>
              </w:rPr>
              <w:t>GR4</w:t>
            </w:r>
            <w:r>
              <w:rPr>
                <w:rFonts w:ascii="Times New Roman" w:hAnsi="Times New Roman" w:cs="Times New Roman"/>
                <w:sz w:val="18"/>
                <w:szCs w:val="18"/>
              </w:rPr>
              <w:t xml:space="preserve"> </w:t>
            </w:r>
          </w:p>
        </w:tc>
        <w:tc>
          <w:tcPr>
            <w:tcW w:w="573" w:type="dxa"/>
            <w:vAlign w:val="center"/>
          </w:tcPr>
          <w:p>
            <w:pPr>
              <w:jc w:val="center"/>
              <w:rPr>
                <w:rFonts w:ascii="Times New Roman" w:hAnsi="Times New Roman" w:cs="Times New Roman"/>
                <w:bCs/>
                <w:sz w:val="18"/>
                <w:szCs w:val="18"/>
              </w:rPr>
            </w:pPr>
            <w:r>
              <w:rPr>
                <w:rFonts w:ascii="Times New Roman" w:hAnsi="Times New Roman" w:cs="Times New Roman"/>
                <w:bCs/>
                <w:sz w:val="18"/>
                <w:szCs w:val="18"/>
              </w:rPr>
              <w:t xml:space="preserve">GR5 </w:t>
            </w:r>
          </w:p>
        </w:tc>
        <w:tc>
          <w:tcPr>
            <w:tcW w:w="573" w:type="dxa"/>
            <w:vAlign w:val="center"/>
          </w:tcPr>
          <w:p>
            <w:pPr>
              <w:jc w:val="center"/>
              <w:rPr>
                <w:rFonts w:ascii="Times New Roman" w:hAnsi="Times New Roman" w:cs="Times New Roman"/>
                <w:sz w:val="18"/>
                <w:szCs w:val="18"/>
              </w:rPr>
            </w:pPr>
            <w:r>
              <w:rPr>
                <w:rFonts w:ascii="Times New Roman" w:hAnsi="Times New Roman" w:cs="Times New Roman"/>
                <w:bCs/>
                <w:sz w:val="18"/>
                <w:szCs w:val="18"/>
              </w:rPr>
              <w:t>GR6</w:t>
            </w:r>
            <w:r>
              <w:rPr>
                <w:rFonts w:ascii="Times New Roman" w:hAnsi="Times New Roman" w:cs="Times New Roman"/>
                <w:sz w:val="18"/>
                <w:szCs w:val="18"/>
              </w:rPr>
              <w:t xml:space="preserve"> </w:t>
            </w:r>
          </w:p>
        </w:tc>
        <w:tc>
          <w:tcPr>
            <w:tcW w:w="573" w:type="dxa"/>
            <w:vAlign w:val="center"/>
          </w:tcPr>
          <w:p>
            <w:pPr>
              <w:jc w:val="center"/>
              <w:rPr>
                <w:rFonts w:ascii="Times New Roman" w:hAnsi="Times New Roman" w:cs="Times New Roman"/>
                <w:sz w:val="18"/>
                <w:szCs w:val="18"/>
              </w:rPr>
            </w:pPr>
            <w:r>
              <w:rPr>
                <w:rFonts w:ascii="Times New Roman" w:hAnsi="Times New Roman" w:cs="Times New Roman"/>
                <w:bCs/>
                <w:sz w:val="18"/>
                <w:szCs w:val="18"/>
              </w:rPr>
              <w:t>GR7</w:t>
            </w:r>
            <w:r>
              <w:rPr>
                <w:rFonts w:ascii="Times New Roman" w:hAnsi="Times New Roman" w:cs="Times New Roman"/>
                <w:sz w:val="18"/>
                <w:szCs w:val="18"/>
              </w:rPr>
              <w:t xml:space="preserve"> </w:t>
            </w:r>
          </w:p>
        </w:tc>
        <w:tc>
          <w:tcPr>
            <w:tcW w:w="573" w:type="dxa"/>
            <w:vAlign w:val="center"/>
          </w:tcPr>
          <w:p>
            <w:pPr>
              <w:jc w:val="center"/>
              <w:rPr>
                <w:rFonts w:ascii="Times New Roman" w:hAnsi="Times New Roman" w:cs="Times New Roman"/>
                <w:sz w:val="18"/>
                <w:szCs w:val="18"/>
              </w:rPr>
            </w:pPr>
            <w:r>
              <w:rPr>
                <w:rFonts w:ascii="Times New Roman" w:hAnsi="Times New Roman" w:cs="Times New Roman"/>
                <w:bCs/>
                <w:sz w:val="18"/>
                <w:szCs w:val="18"/>
              </w:rPr>
              <w:t>GR8</w:t>
            </w:r>
            <w:r>
              <w:rPr>
                <w:rFonts w:ascii="Times New Roman" w:hAnsi="Times New Roman" w:cs="Times New Roman"/>
                <w:sz w:val="18"/>
                <w:szCs w:val="18"/>
              </w:rPr>
              <w:t xml:space="preserve"> </w:t>
            </w:r>
          </w:p>
        </w:tc>
        <w:tc>
          <w:tcPr>
            <w:tcW w:w="573" w:type="dxa"/>
            <w:vAlign w:val="center"/>
          </w:tcPr>
          <w:p>
            <w:pPr>
              <w:jc w:val="center"/>
              <w:rPr>
                <w:rFonts w:ascii="Times New Roman" w:hAnsi="Times New Roman" w:cs="Times New Roman"/>
                <w:sz w:val="18"/>
                <w:szCs w:val="18"/>
              </w:rPr>
            </w:pPr>
            <w:r>
              <w:rPr>
                <w:rFonts w:ascii="Times New Roman" w:hAnsi="Times New Roman" w:cs="Times New Roman"/>
                <w:bCs/>
                <w:sz w:val="18"/>
                <w:szCs w:val="18"/>
              </w:rPr>
              <w:t>GR9</w:t>
            </w:r>
            <w:r>
              <w:rPr>
                <w:rFonts w:ascii="Times New Roman" w:hAnsi="Times New Roman" w:cs="Times New Roman"/>
                <w:sz w:val="18"/>
                <w:szCs w:val="18"/>
              </w:rPr>
              <w:t xml:space="preserve"> </w:t>
            </w:r>
          </w:p>
        </w:tc>
        <w:tc>
          <w:tcPr>
            <w:tcW w:w="655" w:type="dxa"/>
            <w:vAlign w:val="center"/>
          </w:tcPr>
          <w:p>
            <w:pPr>
              <w:jc w:val="center"/>
              <w:rPr>
                <w:rFonts w:ascii="Times New Roman" w:hAnsi="Times New Roman" w:cs="Times New Roman"/>
                <w:sz w:val="18"/>
                <w:szCs w:val="18"/>
              </w:rPr>
            </w:pPr>
            <w:r>
              <w:rPr>
                <w:rFonts w:ascii="Times New Roman" w:hAnsi="Times New Roman" w:cs="Times New Roman"/>
                <w:sz w:val="18"/>
                <w:szCs w:val="18"/>
              </w:rPr>
              <w:t xml:space="preserve">GR10 </w:t>
            </w:r>
          </w:p>
        </w:tc>
        <w:tc>
          <w:tcPr>
            <w:tcW w:w="709" w:type="dxa"/>
            <w:vAlign w:val="center"/>
          </w:tcPr>
          <w:p>
            <w:pPr>
              <w:jc w:val="center"/>
              <w:rPr>
                <w:rFonts w:ascii="Times New Roman" w:hAnsi="Times New Roman" w:cs="Times New Roman"/>
                <w:bCs/>
                <w:sz w:val="18"/>
                <w:szCs w:val="18"/>
              </w:rPr>
            </w:pPr>
            <w:r>
              <w:rPr>
                <w:rFonts w:ascii="Times New Roman" w:hAnsi="Times New Roman" w:cs="Times New Roman"/>
                <w:bCs/>
                <w:sz w:val="18"/>
                <w:szCs w:val="18"/>
              </w:rPr>
              <w:t xml:space="preserve">GR11 </w:t>
            </w:r>
          </w:p>
        </w:tc>
        <w:tc>
          <w:tcPr>
            <w:tcW w:w="708" w:type="dxa"/>
            <w:vAlign w:val="center"/>
          </w:tcPr>
          <w:p>
            <w:pPr>
              <w:jc w:val="center"/>
              <w:rPr>
                <w:rFonts w:ascii="Times New Roman" w:hAnsi="Times New Roman" w:cs="Times New Roman"/>
                <w:bCs/>
                <w:sz w:val="18"/>
                <w:szCs w:val="18"/>
              </w:rPr>
            </w:pPr>
            <w:r>
              <w:rPr>
                <w:rFonts w:ascii="Times New Roman" w:hAnsi="Times New Roman" w:cs="Times New Roman"/>
                <w:bCs/>
                <w:sz w:val="18"/>
                <w:szCs w:val="18"/>
              </w:rPr>
              <w:t xml:space="preserve">GR12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形势与政策</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大学英语</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r>
              <w:rPr>
                <w:rFonts w:ascii="宋体" w:hAnsi="宋体" w:cs="宋体"/>
                <w:kern w:val="0"/>
                <w:sz w:val="24"/>
                <w:szCs w:val="24"/>
              </w:rPr>
              <w:t>√</w:t>
            </w: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大学体育</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毛泽东思想与中国特色社会主义理论体系概论</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马克思主义基本原理概论</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中国近现代史纲要</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思想道德与法治</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b/>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习近平新时代中国特色社会主义思想概论</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军事理论</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cs="宋体"/>
                <w:szCs w:val="21"/>
              </w:rPr>
            </w:pPr>
            <w:r>
              <w:rPr>
                <w:rFonts w:hint="eastAsia" w:ascii="宋体" w:hAnsi="宋体" w:eastAsia="宋体" w:cs="宋体"/>
                <w:color w:val="000000"/>
                <w:kern w:val="0"/>
                <w:szCs w:val="21"/>
                <w:lang w:bidi="ar"/>
              </w:rPr>
              <w:t>大学生心理健康</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cs="宋体"/>
                <w:szCs w:val="21"/>
              </w:rPr>
            </w:pPr>
            <w:r>
              <w:rPr>
                <w:rFonts w:hint="eastAsia" w:ascii="宋体" w:hAnsi="宋体" w:eastAsia="宋体" w:cs="宋体"/>
                <w:color w:val="000000"/>
                <w:kern w:val="0"/>
                <w:szCs w:val="21"/>
                <w:lang w:bidi="ar"/>
              </w:rPr>
              <w:t>高等数学B</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cs="宋体"/>
                <w:szCs w:val="21"/>
              </w:rPr>
            </w:pPr>
            <w:r>
              <w:rPr>
                <w:rFonts w:hint="eastAsia" w:ascii="宋体" w:hAnsi="宋体" w:eastAsia="宋体" w:cs="宋体"/>
                <w:color w:val="000000"/>
                <w:kern w:val="0"/>
                <w:szCs w:val="21"/>
                <w:lang w:bidi="ar"/>
              </w:rPr>
              <w:t>线性代数</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cs="宋体"/>
                <w:szCs w:val="21"/>
              </w:rPr>
            </w:pPr>
            <w:r>
              <w:rPr>
                <w:rFonts w:hint="eastAsia" w:ascii="宋体" w:hAnsi="宋体" w:eastAsia="宋体" w:cs="宋体"/>
                <w:color w:val="000000"/>
                <w:kern w:val="0"/>
                <w:szCs w:val="21"/>
                <w:lang w:bidi="ar"/>
              </w:rPr>
              <w:t>大学物理B</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cs="宋体"/>
                <w:szCs w:val="21"/>
              </w:rPr>
            </w:pPr>
            <w:r>
              <w:rPr>
                <w:rFonts w:ascii="宋体" w:hAnsi="宋体" w:eastAsia="宋体" w:cs="宋体"/>
                <w:color w:val="000000"/>
                <w:kern w:val="0"/>
                <w:szCs w:val="21"/>
                <w:lang w:bidi="ar"/>
              </w:rPr>
              <w:t>M</w:t>
            </w:r>
            <w:r>
              <w:rPr>
                <w:rFonts w:hint="eastAsia" w:ascii="宋体" w:hAnsi="宋体" w:eastAsia="宋体" w:cs="宋体"/>
                <w:color w:val="000000"/>
                <w:kern w:val="0"/>
                <w:szCs w:val="21"/>
                <w:lang w:bidi="ar"/>
              </w:rPr>
              <w:t>ATLAB程序设计</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工程图学C</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电工与电子技术B</w:t>
            </w:r>
          </w:p>
        </w:tc>
        <w:tc>
          <w:tcPr>
            <w:tcW w:w="574" w:type="dxa"/>
            <w:vAlign w:val="center"/>
          </w:tcPr>
          <w:p>
            <w:pPr>
              <w:widowControl/>
              <w:jc w:val="center"/>
              <w:rPr>
                <w:rFonts w:ascii="宋体" w:hAnsi="宋体"/>
                <w:szCs w:val="21"/>
              </w:rPr>
            </w:pPr>
            <w:r>
              <w:rPr>
                <w:rFonts w:ascii="宋体" w:hAnsi="宋体" w:cs="宋体"/>
                <w:kern w:val="0"/>
                <w:sz w:val="24"/>
                <w:szCs w:val="24"/>
              </w:rPr>
              <w:t>√</w:t>
            </w:r>
          </w:p>
        </w:tc>
        <w:tc>
          <w:tcPr>
            <w:tcW w:w="574" w:type="dxa"/>
            <w:vAlign w:val="center"/>
          </w:tcPr>
          <w:p>
            <w:pPr>
              <w:widowControl/>
              <w:jc w:val="center"/>
              <w:rPr>
                <w:rFonts w:ascii="宋体" w:hAnsi="宋体"/>
                <w:szCs w:val="21"/>
              </w:rPr>
            </w:pPr>
            <w:r>
              <w:rPr>
                <w:rFonts w:ascii="宋体" w:hAnsi="宋体" w:cs="宋体"/>
                <w:kern w:val="0"/>
                <w:sz w:val="24"/>
                <w:szCs w:val="24"/>
              </w:rPr>
              <w:t>√</w:t>
            </w:r>
          </w:p>
        </w:tc>
        <w:tc>
          <w:tcPr>
            <w:tcW w:w="573" w:type="dxa"/>
            <w:vAlign w:val="center"/>
          </w:tcPr>
          <w:p>
            <w:pPr>
              <w:widowControl/>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widowControl/>
              <w:jc w:val="center"/>
              <w:rPr>
                <w:rFonts w:ascii="宋体" w:hAnsi="宋体"/>
                <w:szCs w:val="21"/>
              </w:rPr>
            </w:pPr>
          </w:p>
        </w:tc>
        <w:tc>
          <w:tcPr>
            <w:tcW w:w="709" w:type="dxa"/>
            <w:vAlign w:val="center"/>
          </w:tcPr>
          <w:p>
            <w:pPr>
              <w:widowControl/>
              <w:jc w:val="center"/>
              <w:rPr>
                <w:rFonts w:ascii="宋体" w:hAnsi="宋体" w:cs="宋体"/>
                <w:kern w:val="0"/>
                <w:sz w:val="24"/>
                <w:szCs w:val="24"/>
              </w:rPr>
            </w:pPr>
          </w:p>
        </w:tc>
        <w:tc>
          <w:tcPr>
            <w:tcW w:w="708" w:type="dxa"/>
            <w:vAlign w:val="center"/>
          </w:tcPr>
          <w:p>
            <w:pPr>
              <w:widowControl/>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专业导论</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概率论与数理统计</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Style w:val="11"/>
                <w:rFonts w:hint="default"/>
                <w:lang w:bidi="ar"/>
              </w:rPr>
              <w:t>无机化学</w:t>
            </w:r>
            <w:r>
              <w:rPr>
                <w:rStyle w:val="12"/>
                <w:rFonts w:hint="default"/>
                <w:color w:val="000000" w:themeColor="text1"/>
                <w:lang w:bidi="ar"/>
                <w14:textFill>
                  <w14:solidFill>
                    <w14:schemeClr w14:val="tx1"/>
                  </w14:solidFill>
                </w14:textFill>
              </w:rPr>
              <w:t>B</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分析化学B</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有机化学</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物理化学A</w:t>
            </w:r>
          </w:p>
        </w:tc>
        <w:tc>
          <w:tcPr>
            <w:tcW w:w="574" w:type="dxa"/>
            <w:vAlign w:val="center"/>
          </w:tcPr>
          <w:p>
            <w:pPr>
              <w:widowControl/>
              <w:jc w:val="center"/>
              <w:textAlignment w:val="center"/>
              <w:rPr>
                <w:rFonts w:ascii="宋体" w:hAnsi="宋体" w:eastAsia="宋体" w:cs="宋体"/>
                <w:color w:val="000000"/>
                <w:sz w:val="24"/>
                <w:szCs w:val="24"/>
              </w:rPr>
            </w:pPr>
            <w:r>
              <w:rPr>
                <w:rFonts w:ascii="宋体" w:hAnsi="宋体" w:cs="宋体"/>
                <w:kern w:val="0"/>
                <w:sz w:val="24"/>
                <w:szCs w:val="24"/>
              </w:rPr>
              <w:t>√</w:t>
            </w:r>
          </w:p>
        </w:tc>
        <w:tc>
          <w:tcPr>
            <w:tcW w:w="574" w:type="dxa"/>
            <w:vAlign w:val="center"/>
          </w:tcPr>
          <w:p>
            <w:pPr>
              <w:widowControl/>
              <w:jc w:val="center"/>
              <w:textAlignment w:val="center"/>
              <w:rPr>
                <w:rFonts w:ascii="宋体" w:hAnsi="宋体" w:eastAsia="宋体" w:cs="宋体"/>
                <w:color w:val="00000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tcPr>
          <w:p>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化工原理A</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tcPr>
          <w:p>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tcPr>
          <w:p>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tcPr>
          <w:p>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化工热力学</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tcPr>
          <w:p>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tcPr>
          <w:p>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tcPr>
          <w:p>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化工安全与环保技术</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tcPr>
          <w:p>
            <w:r>
              <w:rPr>
                <w:rFonts w:ascii="宋体" w:hAnsi="宋体" w:cs="宋体"/>
                <w:kern w:val="0"/>
                <w:sz w:val="24"/>
                <w:szCs w:val="24"/>
              </w:rPr>
              <w:t>√</w:t>
            </w:r>
          </w:p>
        </w:tc>
        <w:tc>
          <w:tcPr>
            <w:tcW w:w="573" w:type="dxa"/>
          </w:tcPr>
          <w:p>
            <w:r>
              <w:rPr>
                <w:rFonts w:ascii="宋体" w:hAnsi="宋体" w:cs="宋体"/>
                <w:kern w:val="0"/>
                <w:sz w:val="24"/>
                <w:szCs w:val="24"/>
              </w:rPr>
              <w:t>√</w:t>
            </w:r>
          </w:p>
        </w:tc>
        <w:tc>
          <w:tcPr>
            <w:tcW w:w="573" w:type="dxa"/>
          </w:tcPr>
          <w:p>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r>
              <w:rPr>
                <w:rFonts w:ascii="宋体" w:hAnsi="宋体" w:cs="宋体"/>
                <w:kern w:val="0"/>
                <w:sz w:val="24"/>
                <w:szCs w:val="24"/>
              </w:rPr>
              <w:t>√</w:t>
            </w: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化工设备机械基础</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化工设计</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tcPr>
          <w:p>
            <w:r>
              <w:rPr>
                <w:rFonts w:ascii="宋体" w:hAnsi="宋体" w:cs="宋体"/>
                <w:kern w:val="0"/>
                <w:sz w:val="24"/>
                <w:szCs w:val="24"/>
              </w:rPr>
              <w:t>√</w:t>
            </w:r>
          </w:p>
        </w:tc>
        <w:tc>
          <w:tcPr>
            <w:tcW w:w="573" w:type="dxa"/>
          </w:tcPr>
          <w:p>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r>
              <w:rPr>
                <w:rFonts w:ascii="宋体" w:hAnsi="宋体" w:cs="宋体"/>
                <w:kern w:val="0"/>
                <w:sz w:val="24"/>
                <w:szCs w:val="24"/>
              </w:rPr>
              <w:t>√</w:t>
            </w: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化学反应工程</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hint="eastAsia" w:ascii="宋体" w:hAnsi="宋体" w:eastAsia="宋体" w:cs="宋体"/>
                <w:color w:val="000000"/>
                <w:kern w:val="0"/>
                <w:sz w:val="24"/>
                <w:szCs w:val="24"/>
                <w:lang w:bidi="ar"/>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化工仪表及自动化</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化学工艺学</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hint="eastAsia" w:ascii="宋体" w:hAnsi="宋体" w:eastAsia="宋体" w:cs="宋体"/>
                <w:color w:val="000000"/>
                <w:kern w:val="0"/>
                <w:sz w:val="24"/>
                <w:szCs w:val="24"/>
                <w:lang w:bidi="ar"/>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hint="eastAsia" w:ascii="宋体" w:hAnsi="宋体"/>
                <w:szCs w:val="21"/>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化工传递过程</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widowControl/>
              <w:jc w:val="left"/>
              <w:rPr>
                <w:rFonts w:ascii="宋体" w:hAnsi="宋体"/>
                <w:szCs w:val="21"/>
              </w:rPr>
            </w:pPr>
          </w:p>
        </w:tc>
        <w:tc>
          <w:tcPr>
            <w:tcW w:w="573" w:type="dxa"/>
            <w:vAlign w:val="center"/>
          </w:tcPr>
          <w:p>
            <w:pPr>
              <w:widowControl/>
              <w:jc w:val="left"/>
              <w:rPr>
                <w:rFonts w:ascii="宋体" w:hAnsi="宋体"/>
                <w:szCs w:val="21"/>
              </w:rPr>
            </w:pPr>
          </w:p>
        </w:tc>
        <w:tc>
          <w:tcPr>
            <w:tcW w:w="573" w:type="dxa"/>
            <w:vAlign w:val="center"/>
          </w:tcPr>
          <w:p>
            <w:pPr>
              <w:widowControl/>
              <w:jc w:val="left"/>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化工分离工程</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tcPr>
          <w:p>
            <w:pPr>
              <w:jc w:val="center"/>
              <w:rPr>
                <w:rFonts w:ascii="宋体" w:hAnsi="宋体"/>
                <w:szCs w:val="21"/>
              </w:rPr>
            </w:pPr>
          </w:p>
        </w:tc>
        <w:tc>
          <w:tcPr>
            <w:tcW w:w="573" w:type="dxa"/>
          </w:tcPr>
          <w:p>
            <w:pPr>
              <w:jc w:val="center"/>
              <w:rPr>
                <w:rFonts w:ascii="宋体" w:hAnsi="宋体"/>
                <w:szCs w:val="21"/>
              </w:rPr>
            </w:pPr>
          </w:p>
        </w:tc>
        <w:tc>
          <w:tcPr>
            <w:tcW w:w="573" w:type="dxa"/>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化工过程分析与合成</w:t>
            </w: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hint="eastAsia" w:ascii="宋体" w:hAnsi="宋体" w:eastAsia="宋体" w:cs="宋体"/>
                <w:color w:val="000000"/>
                <w:kern w:val="0"/>
                <w:sz w:val="24"/>
                <w:szCs w:val="24"/>
                <w:lang w:bidi="ar"/>
              </w:rPr>
              <w:t>√</w:t>
            </w:r>
          </w:p>
        </w:tc>
        <w:tc>
          <w:tcPr>
            <w:tcW w:w="573" w:type="dxa"/>
          </w:tcPr>
          <w:p>
            <w:pPr>
              <w:jc w:val="center"/>
              <w:rPr>
                <w:rFonts w:ascii="宋体" w:hAnsi="宋体"/>
                <w:szCs w:val="21"/>
              </w:rPr>
            </w:pPr>
          </w:p>
        </w:tc>
        <w:tc>
          <w:tcPr>
            <w:tcW w:w="573" w:type="dxa"/>
            <w:vAlign w:val="center"/>
          </w:tcPr>
          <w:p>
            <w:pPr>
              <w:jc w:val="center"/>
              <w:rPr>
                <w:rFonts w:ascii="宋体" w:hAnsi="宋体"/>
                <w:szCs w:val="21"/>
              </w:rPr>
            </w:pPr>
          </w:p>
        </w:tc>
        <w:tc>
          <w:tcPr>
            <w:tcW w:w="573" w:type="dxa"/>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化工过程模拟计算（模块课）</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煤化工工艺学</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无机化工工艺学</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精细化工工艺学</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煤化学</w:t>
            </w: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结晶化学导论</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无机材料制备技术</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精细有机合成</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过程工程导论（双语）</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r>
              <w:rPr>
                <w:rFonts w:ascii="宋体" w:hAnsi="宋体" w:cs="宋体"/>
                <w:kern w:val="0"/>
                <w:sz w:val="24"/>
                <w:szCs w:val="24"/>
              </w:rPr>
              <w:t>√</w:t>
            </w: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仪器分析</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科技文献检索与利用</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r>
              <w:rPr>
                <w:rFonts w:ascii="宋体" w:hAnsi="宋体" w:cs="宋体"/>
                <w:kern w:val="0"/>
                <w:sz w:val="24"/>
                <w:szCs w:val="24"/>
              </w:rPr>
              <w:t>√</w:t>
            </w: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专业英语</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r>
              <w:rPr>
                <w:rFonts w:ascii="宋体" w:hAnsi="宋体" w:cs="宋体"/>
                <w:kern w:val="0"/>
                <w:sz w:val="24"/>
                <w:szCs w:val="24"/>
              </w:rPr>
              <w:t>√</w:t>
            </w: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绿色化学与化工</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widowControl/>
              <w:jc w:val="left"/>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widowControl/>
              <w:jc w:val="left"/>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化工技术经济</w:t>
            </w:r>
          </w:p>
        </w:tc>
        <w:tc>
          <w:tcPr>
            <w:tcW w:w="574" w:type="dxa"/>
            <w:vAlign w:val="center"/>
          </w:tcPr>
          <w:p>
            <w:pPr>
              <w:widowControl/>
              <w:jc w:val="center"/>
              <w:rPr>
                <w:rFonts w:ascii="宋体" w:hAnsi="宋体"/>
                <w:szCs w:val="21"/>
              </w:rPr>
            </w:pPr>
            <w:r>
              <w:rPr>
                <w:rFonts w:ascii="宋体" w:hAnsi="宋体" w:cs="宋体"/>
                <w:kern w:val="0"/>
                <w:sz w:val="24"/>
                <w:szCs w:val="24"/>
              </w:rPr>
              <w:t>√</w:t>
            </w:r>
          </w:p>
        </w:tc>
        <w:tc>
          <w:tcPr>
            <w:tcW w:w="574" w:type="dxa"/>
            <w:vAlign w:val="center"/>
          </w:tcPr>
          <w:p>
            <w:pPr>
              <w:widowControl/>
              <w:jc w:val="center"/>
              <w:rPr>
                <w:rFonts w:ascii="宋体" w:hAnsi="宋体"/>
                <w:szCs w:val="21"/>
              </w:rPr>
            </w:pPr>
          </w:p>
        </w:tc>
        <w:tc>
          <w:tcPr>
            <w:tcW w:w="573" w:type="dxa"/>
            <w:vAlign w:val="center"/>
          </w:tcPr>
          <w:p>
            <w:pPr>
              <w:widowControl/>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widowControl/>
              <w:jc w:val="center"/>
              <w:rPr>
                <w:rFonts w:ascii="宋体" w:hAnsi="宋体"/>
                <w:szCs w:val="21"/>
              </w:rPr>
            </w:pPr>
          </w:p>
        </w:tc>
        <w:tc>
          <w:tcPr>
            <w:tcW w:w="709" w:type="dxa"/>
            <w:vAlign w:val="center"/>
          </w:tcPr>
          <w:p>
            <w:pPr>
              <w:widowControl/>
              <w:jc w:val="center"/>
              <w:rPr>
                <w:rFonts w:ascii="宋体" w:hAnsi="宋体" w:cs="宋体"/>
                <w:kern w:val="0"/>
                <w:sz w:val="24"/>
                <w:szCs w:val="24"/>
              </w:rPr>
            </w:pPr>
            <w:r>
              <w:rPr>
                <w:rFonts w:ascii="宋体" w:hAnsi="宋体" w:cs="宋体"/>
                <w:kern w:val="0"/>
                <w:sz w:val="24"/>
                <w:szCs w:val="24"/>
              </w:rPr>
              <w:t>√</w:t>
            </w:r>
          </w:p>
        </w:tc>
        <w:tc>
          <w:tcPr>
            <w:tcW w:w="708" w:type="dxa"/>
            <w:vAlign w:val="center"/>
          </w:tcPr>
          <w:p>
            <w:pPr>
              <w:widowControl/>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化工前沿技术与进展</w:t>
            </w:r>
          </w:p>
        </w:tc>
        <w:tc>
          <w:tcPr>
            <w:tcW w:w="574" w:type="dxa"/>
            <w:vAlign w:val="center"/>
          </w:tcPr>
          <w:p>
            <w:pPr>
              <w:widowControl/>
              <w:jc w:val="center"/>
              <w:rPr>
                <w:rFonts w:ascii="宋体" w:hAnsi="宋体"/>
                <w:szCs w:val="21"/>
              </w:rPr>
            </w:pPr>
            <w:r>
              <w:rPr>
                <w:rFonts w:ascii="宋体" w:hAnsi="宋体" w:cs="宋体"/>
                <w:kern w:val="0"/>
                <w:sz w:val="24"/>
                <w:szCs w:val="24"/>
              </w:rPr>
              <w:t>√</w:t>
            </w:r>
          </w:p>
        </w:tc>
        <w:tc>
          <w:tcPr>
            <w:tcW w:w="574" w:type="dxa"/>
            <w:vAlign w:val="center"/>
          </w:tcPr>
          <w:p>
            <w:pPr>
              <w:widowControl/>
              <w:jc w:val="center"/>
              <w:rPr>
                <w:rFonts w:ascii="宋体" w:hAnsi="宋体"/>
                <w:szCs w:val="21"/>
              </w:rPr>
            </w:pPr>
          </w:p>
        </w:tc>
        <w:tc>
          <w:tcPr>
            <w:tcW w:w="573" w:type="dxa"/>
            <w:vAlign w:val="center"/>
          </w:tcPr>
          <w:p>
            <w:pPr>
              <w:widowControl/>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widowControl/>
              <w:jc w:val="center"/>
              <w:rPr>
                <w:rFonts w:ascii="宋体" w:hAnsi="宋体" w:cs="宋体"/>
                <w:kern w:val="0"/>
                <w:sz w:val="24"/>
                <w:szCs w:val="24"/>
              </w:rPr>
            </w:pPr>
          </w:p>
        </w:tc>
        <w:tc>
          <w:tcPr>
            <w:tcW w:w="709" w:type="dxa"/>
            <w:vAlign w:val="center"/>
          </w:tcPr>
          <w:p>
            <w:pPr>
              <w:widowControl/>
              <w:jc w:val="center"/>
              <w:rPr>
                <w:rFonts w:ascii="宋体" w:hAnsi="宋体" w:cs="宋体"/>
                <w:kern w:val="0"/>
                <w:sz w:val="24"/>
                <w:szCs w:val="24"/>
              </w:rPr>
            </w:pPr>
          </w:p>
        </w:tc>
        <w:tc>
          <w:tcPr>
            <w:tcW w:w="708" w:type="dxa"/>
            <w:vAlign w:val="center"/>
          </w:tcPr>
          <w:p>
            <w:pPr>
              <w:widowControl/>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现代企业管理</w:t>
            </w:r>
          </w:p>
        </w:tc>
        <w:tc>
          <w:tcPr>
            <w:tcW w:w="574" w:type="dxa"/>
            <w:vAlign w:val="center"/>
          </w:tcPr>
          <w:p>
            <w:pPr>
              <w:jc w:val="center"/>
              <w:rPr>
                <w:rFonts w:ascii="宋体" w:hAnsi="宋体"/>
                <w:szCs w:val="21"/>
              </w:rPr>
            </w:pPr>
          </w:p>
        </w:tc>
        <w:tc>
          <w:tcPr>
            <w:tcW w:w="574"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r>
              <w:rPr>
                <w:rFonts w:ascii="宋体" w:hAnsi="宋体" w:cs="宋体"/>
                <w:kern w:val="0"/>
                <w:sz w:val="24"/>
                <w:szCs w:val="24"/>
              </w:rPr>
              <w:t>√</w:t>
            </w:r>
          </w:p>
        </w:tc>
        <w:tc>
          <w:tcPr>
            <w:tcW w:w="709" w:type="dxa"/>
            <w:vAlign w:val="center"/>
          </w:tcPr>
          <w:p>
            <w:pPr>
              <w:jc w:val="center"/>
              <w:rPr>
                <w:rFonts w:ascii="宋体" w:hAnsi="宋体"/>
                <w:szCs w:val="21"/>
              </w:rPr>
            </w:pPr>
            <w:r>
              <w:rPr>
                <w:rFonts w:ascii="宋体" w:hAnsi="宋体" w:cs="宋体"/>
                <w:kern w:val="0"/>
                <w:sz w:val="24"/>
                <w:szCs w:val="24"/>
              </w:rPr>
              <w:t>√</w:t>
            </w: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新型功能肥料</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材料腐蚀与防护</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催化原理</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化工节能原理与技术</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入学教育</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军事训练</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大学生劳动教育</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公益活动</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就业指导</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创新创业教育(I)</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创新创业教育(II)</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r>
              <w:rPr>
                <w:rFonts w:ascii="宋体" w:hAnsi="宋体" w:cs="宋体"/>
                <w:kern w:val="0"/>
                <w:sz w:val="24"/>
                <w:szCs w:val="24"/>
              </w:rPr>
              <w:t>√</w:t>
            </w: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工程训练D</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基础化学实验1</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基础化学实验2</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基础化学实验3</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基础化学实验4</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大学物理实验</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分析化学综合实验</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化工原理实验A</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r>
              <w:rPr>
                <w:rFonts w:hint="eastAsia" w:ascii="宋体" w:hAnsi="宋体" w:eastAsia="宋体" w:cs="宋体"/>
                <w:color w:val="000000"/>
                <w:kern w:val="0"/>
                <w:sz w:val="24"/>
                <w:szCs w:val="24"/>
                <w:lang w:bidi="ar"/>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r>
              <w:rPr>
                <w:rFonts w:hint="eastAsia" w:ascii="宋体" w:hAnsi="宋体" w:eastAsia="宋体" w:cs="宋体"/>
                <w:color w:val="000000"/>
                <w:kern w:val="0"/>
                <w:sz w:val="24"/>
                <w:szCs w:val="24"/>
                <w:lang w:bidi="ar"/>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认识实习</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r>
              <w:rPr>
                <w:rFonts w:hint="eastAsia" w:ascii="宋体" w:hAnsi="宋体"/>
                <w:szCs w:val="21"/>
              </w:rPr>
              <w:t>√</w:t>
            </w:r>
          </w:p>
        </w:tc>
        <w:tc>
          <w:tcPr>
            <w:tcW w:w="709" w:type="dxa"/>
            <w:vAlign w:val="center"/>
          </w:tcPr>
          <w:p>
            <w:pPr>
              <w:jc w:val="center"/>
              <w:rPr>
                <w:rFonts w:ascii="宋体" w:hAnsi="宋体"/>
                <w:szCs w:val="21"/>
              </w:rPr>
            </w:pPr>
            <w:r>
              <w:rPr>
                <w:rFonts w:ascii="宋体" w:hAnsi="宋体" w:cs="宋体"/>
                <w:kern w:val="0"/>
                <w:sz w:val="24"/>
                <w:szCs w:val="24"/>
              </w:rPr>
              <w:t>√</w:t>
            </w:r>
          </w:p>
        </w:tc>
        <w:tc>
          <w:tcPr>
            <w:tcW w:w="708" w:type="dxa"/>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毕业实习</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r>
              <w:rPr>
                <w:rFonts w:ascii="宋体" w:hAnsi="宋体" w:cs="宋体"/>
                <w:kern w:val="0"/>
                <w:sz w:val="24"/>
                <w:szCs w:val="24"/>
              </w:rPr>
              <w:t>√</w:t>
            </w:r>
          </w:p>
        </w:tc>
        <w:tc>
          <w:tcPr>
            <w:tcW w:w="709" w:type="dxa"/>
            <w:vAlign w:val="center"/>
          </w:tcPr>
          <w:p>
            <w:pPr>
              <w:jc w:val="center"/>
              <w:rPr>
                <w:rFonts w:ascii="宋体" w:hAnsi="宋体"/>
                <w:szCs w:val="21"/>
              </w:rPr>
            </w:pPr>
            <w:r>
              <w:rPr>
                <w:rFonts w:ascii="宋体" w:hAnsi="宋体" w:cs="宋体"/>
                <w:kern w:val="0"/>
                <w:sz w:val="24"/>
                <w:szCs w:val="24"/>
              </w:rPr>
              <w:t>√</w:t>
            </w:r>
          </w:p>
        </w:tc>
        <w:tc>
          <w:tcPr>
            <w:tcW w:w="708" w:type="dxa"/>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szCs w:val="21"/>
              </w:rPr>
            </w:pPr>
            <w:r>
              <w:rPr>
                <w:rFonts w:hint="eastAsia" w:ascii="宋体" w:hAnsi="宋体" w:eastAsia="宋体" w:cs="宋体"/>
                <w:color w:val="000000"/>
                <w:kern w:val="0"/>
                <w:szCs w:val="21"/>
                <w:lang w:bidi="ar"/>
              </w:rPr>
              <w:t>化工实习实训A</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8" w:type="dxa"/>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化工原理课程设计</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cs="宋体"/>
                <w:kern w:val="0"/>
                <w:sz w:val="24"/>
                <w:szCs w:val="24"/>
              </w:rPr>
            </w:pPr>
            <w:r>
              <w:rPr>
                <w:rFonts w:ascii="宋体" w:hAnsi="宋体" w:cs="宋体"/>
                <w:kern w:val="0"/>
                <w:sz w:val="24"/>
                <w:szCs w:val="24"/>
              </w:rPr>
              <w:t>√</w:t>
            </w:r>
          </w:p>
        </w:tc>
        <w:tc>
          <w:tcPr>
            <w:tcW w:w="709" w:type="dxa"/>
            <w:vAlign w:val="center"/>
          </w:tcPr>
          <w:p>
            <w:pPr>
              <w:jc w:val="center"/>
              <w:rPr>
                <w:rFonts w:ascii="宋体" w:hAnsi="宋体" w:cs="宋体"/>
                <w:kern w:val="0"/>
                <w:sz w:val="24"/>
                <w:szCs w:val="24"/>
              </w:rPr>
            </w:pPr>
            <w:r>
              <w:rPr>
                <w:rFonts w:ascii="宋体" w:hAnsi="宋体" w:cs="宋体"/>
                <w:kern w:val="0"/>
                <w:sz w:val="24"/>
                <w:szCs w:val="24"/>
              </w:rPr>
              <w:t>√</w:t>
            </w:r>
          </w:p>
        </w:tc>
        <w:tc>
          <w:tcPr>
            <w:tcW w:w="708" w:type="dxa"/>
            <w:vAlign w:val="center"/>
          </w:tcPr>
          <w:p>
            <w:pPr>
              <w:jc w:val="center"/>
              <w:rPr>
                <w:rFonts w:ascii="宋体" w:hAnsi="宋体" w:cs="宋体"/>
                <w:kern w:val="0"/>
                <w:sz w:val="24"/>
                <w:szCs w:val="24"/>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化工综合创新实验</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cs="宋体"/>
                <w:kern w:val="0"/>
                <w:sz w:val="24"/>
                <w:szCs w:val="24"/>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化学工程与工艺专业实验</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r>
              <w:rPr>
                <w:rFonts w:hint="eastAsia" w:ascii="宋体" w:hAnsi="宋体" w:eastAsia="宋体" w:cs="宋体"/>
                <w:color w:val="000000"/>
                <w:kern w:val="0"/>
                <w:sz w:val="24"/>
                <w:szCs w:val="24"/>
                <w:lang w:bidi="ar"/>
              </w:rPr>
              <w:t>√</w:t>
            </w: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cs="宋体"/>
                <w:kern w:val="0"/>
                <w:sz w:val="24"/>
                <w:szCs w:val="24"/>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化工工艺专业课程设计</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655" w:type="dxa"/>
            <w:vAlign w:val="center"/>
          </w:tcPr>
          <w:p>
            <w:pPr>
              <w:jc w:val="center"/>
              <w:rPr>
                <w:rFonts w:ascii="宋体" w:hAnsi="宋体" w:cs="宋体"/>
                <w:kern w:val="0"/>
                <w:sz w:val="24"/>
                <w:szCs w:val="24"/>
              </w:rPr>
            </w:pPr>
            <w:r>
              <w:rPr>
                <w:rFonts w:ascii="宋体" w:hAnsi="宋体" w:cs="宋体"/>
                <w:kern w:val="0"/>
                <w:sz w:val="24"/>
                <w:szCs w:val="24"/>
              </w:rPr>
              <w:t>√</w:t>
            </w:r>
          </w:p>
        </w:tc>
        <w:tc>
          <w:tcPr>
            <w:tcW w:w="709" w:type="dxa"/>
            <w:vAlign w:val="center"/>
          </w:tcPr>
          <w:p>
            <w:pPr>
              <w:jc w:val="center"/>
              <w:rPr>
                <w:rFonts w:ascii="宋体" w:hAnsi="宋体" w:cs="宋体"/>
                <w:kern w:val="0"/>
                <w:sz w:val="24"/>
                <w:szCs w:val="24"/>
              </w:rPr>
            </w:pPr>
            <w:r>
              <w:rPr>
                <w:rFonts w:ascii="宋体" w:hAnsi="宋体" w:cs="宋体"/>
                <w:kern w:val="0"/>
                <w:sz w:val="24"/>
                <w:szCs w:val="24"/>
              </w:rPr>
              <w:t>√</w:t>
            </w:r>
          </w:p>
        </w:tc>
        <w:tc>
          <w:tcPr>
            <w:tcW w:w="708" w:type="dxa"/>
            <w:vAlign w:val="center"/>
          </w:tcPr>
          <w:p>
            <w:pPr>
              <w:jc w:val="center"/>
              <w:rPr>
                <w:rFonts w:ascii="宋体" w:hAnsi="宋体" w:cs="宋体"/>
                <w:kern w:val="0"/>
                <w:sz w:val="24"/>
                <w:szCs w:val="24"/>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毕业设计（论文）</w:t>
            </w:r>
          </w:p>
        </w:tc>
        <w:tc>
          <w:tcPr>
            <w:tcW w:w="574" w:type="dxa"/>
            <w:vAlign w:val="center"/>
          </w:tcPr>
          <w:p>
            <w:pPr>
              <w:jc w:val="center"/>
              <w:rPr>
                <w:rFonts w:ascii="宋体" w:hAnsi="宋体"/>
                <w:szCs w:val="21"/>
              </w:rPr>
            </w:pP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cs="宋体"/>
                <w:kern w:val="0"/>
                <w:sz w:val="24"/>
                <w:szCs w:val="24"/>
              </w:rPr>
            </w:pPr>
            <w:r>
              <w:rPr>
                <w:rFonts w:ascii="宋体" w:hAnsi="宋体" w:cs="宋体"/>
                <w:kern w:val="0"/>
                <w:sz w:val="24"/>
                <w:szCs w:val="24"/>
              </w:rPr>
              <w:t>√</w:t>
            </w: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p>
        </w:tc>
        <w:tc>
          <w:tcPr>
            <w:tcW w:w="655" w:type="dxa"/>
            <w:vAlign w:val="center"/>
          </w:tcPr>
          <w:p>
            <w:pPr>
              <w:jc w:val="center"/>
              <w:rPr>
                <w:rFonts w:ascii="宋体" w:hAnsi="宋体" w:cs="宋体"/>
                <w:kern w:val="0"/>
                <w:sz w:val="24"/>
                <w:szCs w:val="24"/>
              </w:rPr>
            </w:pPr>
            <w:r>
              <w:rPr>
                <w:rFonts w:ascii="宋体" w:hAnsi="宋体" w:cs="宋体"/>
                <w:kern w:val="0"/>
                <w:sz w:val="24"/>
                <w:szCs w:val="24"/>
              </w:rPr>
              <w:t>√</w:t>
            </w:r>
          </w:p>
        </w:tc>
        <w:tc>
          <w:tcPr>
            <w:tcW w:w="709" w:type="dxa"/>
            <w:vAlign w:val="center"/>
          </w:tcPr>
          <w:p>
            <w:pPr>
              <w:jc w:val="center"/>
              <w:rPr>
                <w:rFonts w:ascii="宋体" w:hAnsi="宋体" w:cs="宋体"/>
                <w:kern w:val="0"/>
                <w:sz w:val="24"/>
                <w:szCs w:val="24"/>
              </w:rPr>
            </w:pPr>
            <w:r>
              <w:rPr>
                <w:rFonts w:ascii="宋体" w:hAnsi="宋体" w:cs="宋体"/>
                <w:kern w:val="0"/>
                <w:sz w:val="24"/>
                <w:szCs w:val="24"/>
              </w:rPr>
              <w:t>√</w:t>
            </w:r>
          </w:p>
        </w:tc>
        <w:tc>
          <w:tcPr>
            <w:tcW w:w="708" w:type="dxa"/>
            <w:vAlign w:val="center"/>
          </w:tcPr>
          <w:p>
            <w:pPr>
              <w:jc w:val="center"/>
              <w:rPr>
                <w:rFonts w:ascii="宋体" w:hAnsi="宋体" w:cs="宋体"/>
                <w:kern w:val="0"/>
                <w:sz w:val="24"/>
                <w:szCs w:val="24"/>
              </w:rPr>
            </w:pP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大学生创新基础</w:t>
            </w:r>
          </w:p>
        </w:tc>
        <w:tc>
          <w:tcPr>
            <w:tcW w:w="574" w:type="dxa"/>
            <w:vAlign w:val="center"/>
          </w:tcPr>
          <w:p>
            <w:pPr>
              <w:jc w:val="center"/>
              <w:rPr>
                <w:rFonts w:ascii="宋体" w:hAnsi="宋体"/>
                <w:szCs w:val="21"/>
              </w:rPr>
            </w:pPr>
            <w:r>
              <w:rPr>
                <w:rFonts w:ascii="宋体" w:hAnsi="宋体" w:cs="宋体"/>
                <w:kern w:val="0"/>
                <w:sz w:val="24"/>
                <w:szCs w:val="24"/>
              </w:rPr>
              <w:t>√</w:t>
            </w:r>
          </w:p>
        </w:tc>
        <w:tc>
          <w:tcPr>
            <w:tcW w:w="574"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cs="宋体"/>
                <w:kern w:val="0"/>
                <w:sz w:val="24"/>
                <w:szCs w:val="24"/>
              </w:rPr>
            </w:pPr>
          </w:p>
        </w:tc>
        <w:tc>
          <w:tcPr>
            <w:tcW w:w="573" w:type="dxa"/>
            <w:vAlign w:val="center"/>
          </w:tcPr>
          <w:p>
            <w:pPr>
              <w:jc w:val="center"/>
              <w:rPr>
                <w:rFonts w:ascii="宋体" w:hAnsi="宋体"/>
                <w:szCs w:val="21"/>
              </w:rPr>
            </w:pPr>
          </w:p>
        </w:tc>
        <w:tc>
          <w:tcPr>
            <w:tcW w:w="573" w:type="dxa"/>
            <w:vAlign w:val="center"/>
          </w:tcPr>
          <w:p>
            <w:pPr>
              <w:jc w:val="center"/>
              <w:rPr>
                <w:rFonts w:ascii="宋体" w:hAnsi="宋体"/>
                <w:szCs w:val="21"/>
              </w:rPr>
            </w:pPr>
            <w:r>
              <w:rPr>
                <w:rFonts w:ascii="宋体" w:hAnsi="宋体" w:cs="宋体"/>
                <w:kern w:val="0"/>
                <w:sz w:val="24"/>
                <w:szCs w:val="24"/>
              </w:rPr>
              <w:t>√</w:t>
            </w:r>
          </w:p>
        </w:tc>
        <w:tc>
          <w:tcPr>
            <w:tcW w:w="655" w:type="dxa"/>
            <w:vAlign w:val="center"/>
          </w:tcPr>
          <w:p>
            <w:pPr>
              <w:jc w:val="center"/>
              <w:rPr>
                <w:rFonts w:ascii="宋体" w:hAnsi="宋体" w:cs="宋体"/>
                <w:kern w:val="0"/>
                <w:sz w:val="24"/>
                <w:szCs w:val="24"/>
              </w:rPr>
            </w:pPr>
          </w:p>
        </w:tc>
        <w:tc>
          <w:tcPr>
            <w:tcW w:w="709" w:type="dxa"/>
            <w:vAlign w:val="center"/>
          </w:tcPr>
          <w:p>
            <w:pPr>
              <w:jc w:val="center"/>
              <w:rPr>
                <w:rFonts w:ascii="宋体" w:hAnsi="宋体" w:cs="宋体"/>
                <w:kern w:val="0"/>
                <w:sz w:val="24"/>
                <w:szCs w:val="24"/>
              </w:rPr>
            </w:pPr>
          </w:p>
        </w:tc>
        <w:tc>
          <w:tcPr>
            <w:tcW w:w="708" w:type="dxa"/>
            <w:vAlign w:val="center"/>
          </w:tcPr>
          <w:p>
            <w:pPr>
              <w:jc w:val="center"/>
              <w:rPr>
                <w:rFonts w:ascii="宋体" w:hAnsi="宋体" w:cs="宋体"/>
                <w:kern w:val="0"/>
                <w:sz w:val="24"/>
                <w:szCs w:val="24"/>
              </w:rPr>
            </w:pPr>
            <w:r>
              <w:rPr>
                <w:rFonts w:hint="eastAsia" w:ascii="宋体" w:hAnsi="宋体" w:eastAsia="宋体" w:cs="宋体"/>
                <w:color w:val="000000"/>
                <w:kern w:val="0"/>
                <w:sz w:val="24"/>
                <w:szCs w:val="24"/>
                <w:lang w:bidi="ar"/>
              </w:rPr>
              <w:t>√</w:t>
            </w:r>
          </w:p>
        </w:tc>
      </w:tr>
    </w:tbl>
    <w:p>
      <w:pPr>
        <w:spacing w:before="240" w:after="120" w:line="330" w:lineRule="auto"/>
        <w:rPr>
          <w:rFonts w:ascii="黑体" w:hAnsi="黑体" w:eastAsia="黑体" w:cs="黑体"/>
          <w:sz w:val="24"/>
        </w:rPr>
        <w:sectPr>
          <w:pgSz w:w="11906" w:h="16838"/>
          <w:pgMar w:top="1440" w:right="1800" w:bottom="1440" w:left="1800" w:header="851" w:footer="992" w:gutter="0"/>
          <w:cols w:space="425" w:num="1"/>
          <w:docGrid w:type="lines" w:linePitch="312" w:charSpace="0"/>
        </w:sectPr>
      </w:pPr>
    </w:p>
    <w:p>
      <w:pPr>
        <w:spacing w:before="240" w:after="120" w:line="330" w:lineRule="auto"/>
        <w:rPr>
          <w:rFonts w:ascii="黑体" w:hAnsi="黑体" w:eastAsia="黑体" w:cs="黑体"/>
          <w:sz w:val="24"/>
        </w:rPr>
      </w:pPr>
      <w:r>
        <w:rPr>
          <w:rFonts w:hint="eastAsia" w:ascii="黑体" w:hAnsi="黑体" w:eastAsia="黑体" w:cs="黑体"/>
          <w:sz w:val="24"/>
        </w:rPr>
        <w:t>七</w:t>
      </w:r>
      <w:r>
        <w:rPr>
          <w:rFonts w:ascii="黑体" w:hAnsi="黑体" w:eastAsia="黑体" w:cs="黑体"/>
          <w:sz w:val="24"/>
        </w:rPr>
        <w:t>、课程关系图</w:t>
      </w:r>
    </w:p>
    <w:p>
      <w:pPr>
        <w:jc w:val="center"/>
        <w:rPr>
          <w:rFonts w:ascii="黑体" w:hAnsi="黑体" w:eastAsia="黑体" w:cs="黑体"/>
          <w:sz w:val="24"/>
        </w:rPr>
      </w:pPr>
      <w:r>
        <w:rPr>
          <w:rFonts w:ascii="黑体" w:hAnsi="黑体" w:eastAsia="黑体" w:cs="黑体"/>
          <w:sz w:val="24"/>
        </w:rPr>
        <w:drawing>
          <wp:inline distT="0" distB="0" distL="0" distR="0">
            <wp:extent cx="6987540" cy="5535295"/>
            <wp:effectExtent l="0" t="0" r="381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92203" cy="5538940"/>
                    </a:xfrm>
                    <a:prstGeom prst="rect">
                      <a:avLst/>
                    </a:prstGeom>
                    <a:noFill/>
                  </pic:spPr>
                </pic:pic>
              </a:graphicData>
            </a:graphic>
          </wp:inline>
        </w:drawing>
      </w:r>
    </w:p>
    <w:p>
      <w:pPr>
        <w:jc w:val="center"/>
        <w:rPr>
          <w:rFonts w:ascii="黑体" w:hAnsi="黑体" w:eastAsia="黑体" w:cs="黑体"/>
          <w:sz w:val="24"/>
        </w:rPr>
      </w:pPr>
    </w:p>
    <w:p>
      <w:pPr>
        <w:spacing w:before="240" w:after="120" w:line="330" w:lineRule="auto"/>
        <w:jc w:val="center"/>
        <w:rPr>
          <w:rFonts w:ascii="黑体" w:hAnsi="黑体" w:eastAsia="黑体" w:cs="黑体"/>
          <w:sz w:val="24"/>
        </w:rPr>
        <w:sectPr>
          <w:pgSz w:w="16838" w:h="11906" w:orient="landscape"/>
          <w:pgMar w:top="1134" w:right="1440" w:bottom="1135" w:left="1440" w:header="851" w:footer="992" w:gutter="0"/>
          <w:cols w:space="425" w:num="1"/>
          <w:docGrid w:type="lines" w:linePitch="312" w:charSpace="0"/>
        </w:sectPr>
      </w:pPr>
      <w:r>
        <w:rPr>
          <w:rFonts w:ascii="黑体" w:hAnsi="黑体" w:eastAsia="黑体" w:cs="黑体"/>
          <w:sz w:val="24"/>
        </w:rPr>
        <w:drawing>
          <wp:inline distT="0" distB="0" distL="0" distR="0">
            <wp:extent cx="6846570" cy="55359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846570" cy="5535930"/>
                    </a:xfrm>
                    <a:prstGeom prst="rect">
                      <a:avLst/>
                    </a:prstGeom>
                    <a:noFill/>
                  </pic:spPr>
                </pic:pic>
              </a:graphicData>
            </a:graphic>
          </wp:inline>
        </w:drawing>
      </w:r>
    </w:p>
    <w:p>
      <w:pPr>
        <w:spacing w:before="240" w:after="120" w:line="330" w:lineRule="auto"/>
        <w:rPr>
          <w:rFonts w:ascii="黑体" w:hAnsi="黑体" w:eastAsia="黑体" w:cs="黑体"/>
          <w:sz w:val="24"/>
        </w:rPr>
      </w:pPr>
      <w:r>
        <w:rPr>
          <w:rFonts w:hint="eastAsia" w:ascii="黑体" w:hAnsi="黑体" w:eastAsia="黑体" w:cs="黑体"/>
          <w:sz w:val="24"/>
        </w:rPr>
        <w:t>八</w:t>
      </w:r>
      <w:r>
        <w:rPr>
          <w:rFonts w:ascii="黑体" w:hAnsi="黑体" w:eastAsia="黑体" w:cs="黑体"/>
          <w:sz w:val="24"/>
        </w:rPr>
        <w:t>、毕业合格标准</w:t>
      </w:r>
    </w:p>
    <w:p>
      <w:pPr>
        <w:spacing w:line="330" w:lineRule="auto"/>
        <w:ind w:firstLine="420"/>
        <w:rPr>
          <w:rFonts w:ascii="宋体" w:hAnsi="宋体" w:eastAsia="宋体" w:cs="宋体"/>
          <w:color w:val="000000"/>
        </w:rPr>
      </w:pPr>
      <w:r>
        <w:rPr>
          <w:rFonts w:ascii="宋体" w:hAnsi="宋体" w:eastAsia="宋体" w:cs="宋体"/>
          <w:color w:val="000000"/>
        </w:rPr>
        <w:t>1.符合德育培养要求。</w:t>
      </w:r>
    </w:p>
    <w:p>
      <w:pPr>
        <w:spacing w:line="330" w:lineRule="auto"/>
        <w:ind w:firstLine="420"/>
        <w:rPr>
          <w:rFonts w:ascii="宋体" w:hAnsi="宋体" w:eastAsia="宋体" w:cs="宋体"/>
          <w:color w:val="000000"/>
        </w:rPr>
      </w:pPr>
      <w:r>
        <w:rPr>
          <w:rFonts w:hint="eastAsia" w:ascii="宋体" w:hAnsi="宋体" w:eastAsia="宋体" w:cs="宋体"/>
          <w:color w:val="000000"/>
        </w:rPr>
        <w:t>2.符合毕业要求。</w:t>
      </w:r>
    </w:p>
    <w:p>
      <w:pPr>
        <w:spacing w:line="330" w:lineRule="auto"/>
        <w:ind w:firstLine="420"/>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w:t>
      </w:r>
      <w:r>
        <w:rPr>
          <w:rFonts w:hint="eastAsia" w:ascii="宋体" w:hAnsi="宋体" w:eastAsia="宋体" w:cs="宋体"/>
          <w:color w:val="000000"/>
        </w:rPr>
        <w:t>第一课堂：</w:t>
      </w:r>
      <w:r>
        <w:rPr>
          <w:rFonts w:ascii="宋体" w:hAnsi="宋体" w:eastAsia="宋体" w:cs="宋体"/>
          <w:color w:val="000000"/>
        </w:rPr>
        <w:t>最低毕业学分</w:t>
      </w:r>
      <w:r>
        <w:rPr>
          <w:rFonts w:ascii="宋体" w:hAnsi="宋体" w:eastAsia="宋体" w:cs="宋体"/>
          <w:color w:val="000000" w:themeColor="text1"/>
          <w14:textFill>
            <w14:solidFill>
              <w14:schemeClr w14:val="tx1"/>
            </w14:solidFill>
          </w14:textFill>
        </w:rPr>
        <w:t>167。其中理论课程121学分，实践教学环节46学</w:t>
      </w:r>
      <w:r>
        <w:rPr>
          <w:rFonts w:ascii="宋体" w:hAnsi="宋体" w:eastAsia="宋体" w:cs="宋体"/>
          <w:color w:val="000000"/>
        </w:rPr>
        <w:t>分。其中创新创业教育不得低于4学分，通识教育选修课程不得低于</w:t>
      </w:r>
      <w:r>
        <w:rPr>
          <w:rFonts w:hint="eastAsia" w:ascii="宋体" w:hAnsi="宋体" w:eastAsia="宋体" w:cs="宋体"/>
          <w:color w:val="000000"/>
        </w:rPr>
        <w:t>12</w:t>
      </w:r>
      <w:r>
        <w:rPr>
          <w:rFonts w:ascii="宋体" w:hAnsi="宋体" w:eastAsia="宋体" w:cs="宋体"/>
          <w:color w:val="000000"/>
        </w:rPr>
        <w:t>学分</w:t>
      </w:r>
      <w:r>
        <w:rPr>
          <w:rFonts w:hint="eastAsia" w:ascii="宋体" w:hAnsi="宋体" w:eastAsia="宋体" w:cs="宋体"/>
          <w:color w:val="000000"/>
        </w:rPr>
        <w:t>，“四史”课程学分应不低于1学分</w:t>
      </w:r>
      <w:r>
        <w:rPr>
          <w:rFonts w:ascii="宋体" w:hAnsi="宋体" w:eastAsia="宋体" w:cs="宋体"/>
          <w:color w:val="000000"/>
        </w:rPr>
        <w:t>。</w:t>
      </w:r>
    </w:p>
    <w:p>
      <w:pPr>
        <w:spacing w:line="330" w:lineRule="auto"/>
        <w:ind w:firstLine="420"/>
        <w:rPr>
          <w:rFonts w:ascii="宋体" w:hAnsi="宋体" w:eastAsia="宋体" w:cs="宋体"/>
          <w:color w:val="000000"/>
        </w:rPr>
      </w:pPr>
      <w:r>
        <w:rPr>
          <w:rFonts w:hint="eastAsia" w:ascii="宋体" w:hAnsi="宋体" w:eastAsia="宋体" w:cs="宋体"/>
          <w:color w:val="000000"/>
        </w:rPr>
        <w:t>4.第二课堂成绩单达到如下要求方可毕业：</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27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vAlign w:val="center"/>
          </w:tcPr>
          <w:p>
            <w:pPr>
              <w:snapToGrid w:val="0"/>
              <w:spacing w:line="480" w:lineRule="exact"/>
              <w:jc w:val="center"/>
              <w:rPr>
                <w:rFonts w:ascii="宋体" w:hAnsi="宋体" w:eastAsia="宋体" w:cs="宋体"/>
                <w:b/>
                <w:color w:val="000000"/>
              </w:rPr>
            </w:pPr>
            <w:r>
              <w:rPr>
                <w:rFonts w:hint="eastAsia" w:ascii="宋体" w:hAnsi="宋体" w:eastAsia="宋体" w:cs="宋体"/>
                <w:b/>
                <w:color w:val="000000"/>
              </w:rPr>
              <w:t>活动类型</w:t>
            </w:r>
          </w:p>
        </w:tc>
        <w:tc>
          <w:tcPr>
            <w:tcW w:w="1271" w:type="dxa"/>
            <w:vAlign w:val="center"/>
          </w:tcPr>
          <w:p>
            <w:pPr>
              <w:snapToGrid w:val="0"/>
              <w:spacing w:line="480" w:lineRule="exact"/>
              <w:jc w:val="center"/>
              <w:rPr>
                <w:rFonts w:ascii="宋体" w:hAnsi="宋体" w:eastAsia="宋体" w:cs="宋体"/>
                <w:b/>
                <w:color w:val="000000"/>
              </w:rPr>
            </w:pPr>
            <w:r>
              <w:rPr>
                <w:rFonts w:hint="eastAsia" w:ascii="宋体" w:hAnsi="宋体" w:eastAsia="宋体" w:cs="宋体"/>
                <w:b/>
                <w:color w:val="000000"/>
              </w:rPr>
              <w:t>活动性质</w:t>
            </w:r>
          </w:p>
        </w:tc>
        <w:tc>
          <w:tcPr>
            <w:tcW w:w="5528" w:type="dxa"/>
            <w:vAlign w:val="center"/>
          </w:tcPr>
          <w:p>
            <w:pPr>
              <w:snapToGrid w:val="0"/>
              <w:spacing w:line="480" w:lineRule="exact"/>
              <w:jc w:val="center"/>
              <w:rPr>
                <w:rFonts w:ascii="宋体" w:hAnsi="宋体" w:eastAsia="宋体" w:cs="宋体"/>
                <w:b/>
                <w:color w:val="000000"/>
              </w:rPr>
            </w:pPr>
            <w:r>
              <w:rPr>
                <w:rFonts w:hint="eastAsia" w:ascii="宋体" w:hAnsi="宋体" w:eastAsia="宋体" w:cs="宋体"/>
                <w:b/>
                <w:color w:val="00000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思想成长</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必修</w:t>
            </w:r>
          </w:p>
        </w:tc>
        <w:tc>
          <w:tcPr>
            <w:tcW w:w="552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至少修得3个学分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科技创新</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必修</w:t>
            </w:r>
          </w:p>
        </w:tc>
        <w:tc>
          <w:tcPr>
            <w:tcW w:w="552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至少修得3个学分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体育活动</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必修</w:t>
            </w:r>
          </w:p>
        </w:tc>
        <w:tc>
          <w:tcPr>
            <w:tcW w:w="552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参加大学生体质健康测试达标并至少修得3个学分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工作履历</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选修</w:t>
            </w:r>
          </w:p>
        </w:tc>
        <w:tc>
          <w:tcPr>
            <w:tcW w:w="5528" w:type="dxa"/>
            <w:vMerge w:val="restart"/>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至少两个模块共修得3个学分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实习实践</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选修</w:t>
            </w:r>
          </w:p>
        </w:tc>
        <w:tc>
          <w:tcPr>
            <w:tcW w:w="5528" w:type="dxa"/>
            <w:vMerge w:val="continue"/>
            <w:vAlign w:val="center"/>
          </w:tcPr>
          <w:p>
            <w:pPr>
              <w:snapToGrid w:val="0"/>
              <w:spacing w:line="48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公益服务</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选修</w:t>
            </w:r>
          </w:p>
        </w:tc>
        <w:tc>
          <w:tcPr>
            <w:tcW w:w="5528" w:type="dxa"/>
            <w:vMerge w:val="continue"/>
            <w:vAlign w:val="center"/>
          </w:tcPr>
          <w:p>
            <w:pPr>
              <w:snapToGrid w:val="0"/>
              <w:spacing w:line="48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文艺活动</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选修</w:t>
            </w:r>
          </w:p>
        </w:tc>
        <w:tc>
          <w:tcPr>
            <w:tcW w:w="5528" w:type="dxa"/>
            <w:vMerge w:val="continue"/>
            <w:vAlign w:val="center"/>
          </w:tcPr>
          <w:p>
            <w:pPr>
              <w:snapToGrid w:val="0"/>
              <w:spacing w:line="48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学生自选</w:t>
            </w:r>
          </w:p>
        </w:tc>
        <w:tc>
          <w:tcPr>
            <w:tcW w:w="1271" w:type="dxa"/>
            <w:vAlign w:val="center"/>
          </w:tcPr>
          <w:p>
            <w:pPr>
              <w:snapToGrid w:val="0"/>
              <w:spacing w:line="480" w:lineRule="exact"/>
              <w:jc w:val="center"/>
              <w:rPr>
                <w:rFonts w:ascii="宋体" w:hAnsi="宋体" w:eastAsia="宋体" w:cs="宋体"/>
                <w:color w:val="000000"/>
              </w:rPr>
            </w:pPr>
            <w:r>
              <w:rPr>
                <w:rFonts w:hint="eastAsia" w:ascii="宋体" w:hAnsi="宋体" w:eastAsia="宋体" w:cs="宋体"/>
                <w:color w:val="000000"/>
              </w:rPr>
              <w:t>选修</w:t>
            </w:r>
          </w:p>
        </w:tc>
        <w:tc>
          <w:tcPr>
            <w:tcW w:w="5528" w:type="dxa"/>
            <w:vMerge w:val="continue"/>
            <w:vAlign w:val="center"/>
          </w:tcPr>
          <w:p>
            <w:pPr>
              <w:snapToGrid w:val="0"/>
              <w:spacing w:line="480" w:lineRule="exact"/>
              <w:jc w:val="center"/>
              <w:rPr>
                <w:sz w:val="28"/>
              </w:rPr>
            </w:pPr>
          </w:p>
        </w:tc>
      </w:tr>
    </w:tbl>
    <w:p>
      <w:pPr>
        <w:numPr>
          <w:ilvl w:val="0"/>
          <w:numId w:val="1"/>
        </w:numPr>
        <w:spacing w:before="240" w:after="120" w:line="340" w:lineRule="auto"/>
        <w:rPr>
          <w:rFonts w:hint="eastAsia" w:ascii="黑体" w:hAnsi="黑体" w:eastAsia="黑体" w:cs="黑体"/>
          <w:sz w:val="24"/>
        </w:rPr>
      </w:pPr>
      <w:r>
        <w:rPr>
          <w:rFonts w:hint="eastAsia" w:ascii="黑体" w:hAnsi="黑体" w:eastAsia="黑体" w:cs="黑体"/>
          <w:sz w:val="24"/>
        </w:rPr>
        <w:t>教学计划结构表（见附表）</w:t>
      </w:r>
    </w:p>
    <w:p>
      <w:pPr>
        <w:keepNext w:val="0"/>
        <w:keepLines w:val="0"/>
        <w:pageBreakBefore w:val="0"/>
        <w:widowControl/>
        <w:kinsoku/>
        <w:wordWrap/>
        <w:overflowPunct/>
        <w:topLinePunct w:val="0"/>
        <w:autoSpaceDE/>
        <w:autoSpaceDN/>
        <w:bidi w:val="0"/>
        <w:adjustRightInd/>
        <w:snapToGrid/>
        <w:spacing w:before="156" w:beforeLines="50" w:after="156" w:afterLines="50" w:line="440" w:lineRule="exact"/>
        <w:ind w:firstLine="0" w:firstLineChars="0"/>
        <w:jc w:val="left"/>
        <w:textAlignment w:val="auto"/>
        <w:rPr>
          <w:rFonts w:hint="eastAsia" w:ascii="Times New Roman" w:hAnsi="Times New Roman" w:eastAsia="宋体" w:cs="Times New Roman"/>
          <w:b/>
          <w:bCs/>
          <w:color w:val="000000"/>
          <w:kern w:val="0"/>
          <w:sz w:val="24"/>
          <w:lang w:val="en-US" w:eastAsia="zh-CN" w:bidi="ar"/>
        </w:rPr>
      </w:pPr>
      <w:r>
        <w:rPr>
          <w:rFonts w:hint="eastAsia" w:ascii="黑体" w:hAnsi="黑体" w:eastAsia="黑体" w:cs="黑体"/>
          <w:sz w:val="24"/>
          <w:lang w:val="en-US" w:eastAsia="zh-CN"/>
        </w:rPr>
        <w:t>附：</w:t>
      </w:r>
      <w:r>
        <w:rPr>
          <w:rFonts w:hint="default" w:ascii="Times New Roman" w:hAnsi="Times New Roman" w:eastAsia="宋体" w:cs="Times New Roman"/>
          <w:b/>
          <w:bCs/>
          <w:color w:val="000000"/>
          <w:kern w:val="0"/>
          <w:sz w:val="24"/>
          <w:lang w:bidi="ar"/>
        </w:rPr>
        <w:t>课程教学</w:t>
      </w:r>
      <w:r>
        <w:rPr>
          <w:rFonts w:hint="eastAsia" w:ascii="Times New Roman" w:hAnsi="Times New Roman" w:eastAsia="宋体" w:cs="Times New Roman"/>
          <w:b/>
          <w:bCs/>
          <w:color w:val="000000"/>
          <w:kern w:val="0"/>
          <w:sz w:val="24"/>
          <w:lang w:val="en-US" w:eastAsia="zh-CN" w:bidi="ar"/>
        </w:rPr>
        <w:t>与</w:t>
      </w:r>
      <w:r>
        <w:rPr>
          <w:rFonts w:hint="default" w:ascii="Times New Roman" w:hAnsi="Times New Roman" w:eastAsia="宋体" w:cs="Times New Roman"/>
          <w:b/>
          <w:bCs/>
          <w:color w:val="000000"/>
          <w:kern w:val="0"/>
          <w:sz w:val="24"/>
          <w:lang w:bidi="ar"/>
        </w:rPr>
        <w:t>毕业要求支撑关系</w:t>
      </w:r>
      <w:r>
        <w:rPr>
          <w:rFonts w:hint="eastAsia" w:ascii="Times New Roman" w:hAnsi="Times New Roman" w:eastAsia="宋体" w:cs="Times New Roman"/>
          <w:b/>
          <w:bCs/>
          <w:color w:val="000000"/>
          <w:kern w:val="0"/>
          <w:sz w:val="24"/>
          <w:lang w:val="en-US" w:eastAsia="zh-CN" w:bidi="ar"/>
        </w:rPr>
        <w:t>表</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b/>
          <w:bCs/>
          <w:color w:val="000000"/>
          <w:kern w:val="0"/>
          <w:sz w:val="24"/>
          <w:lang w:val="en-US" w:eastAsia="zh-CN" w:bidi="ar"/>
        </w:rPr>
      </w:pPr>
      <w:r>
        <w:rPr>
          <w:rFonts w:hint="eastAsia" w:ascii="Times New Roman" w:hAnsi="Times New Roman" w:eastAsia="宋体" w:cs="Times New Roman"/>
          <w:b/>
          <w:bCs/>
          <w:color w:val="000000"/>
          <w:kern w:val="0"/>
          <w:sz w:val="24"/>
          <w:lang w:val="en-US" w:eastAsia="zh-CN" w:bidi="ar"/>
        </w:rPr>
        <w:t>课程教学与毕业要求二级观测点对应关系表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9"/>
        <w:gridCol w:w="2533"/>
        <w:gridCol w:w="2669"/>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1298"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b/>
                <w:bCs/>
                <w:kern w:val="0"/>
                <w:sz w:val="21"/>
                <w:szCs w:val="21"/>
                <w:highlight w:val="none"/>
                <w:lang w:eastAsia="en-US"/>
              </w:rPr>
            </w:pPr>
            <w:r>
              <w:rPr>
                <w:rFonts w:hint="default" w:ascii="Times New Roman" w:hAnsi="Times New Roman" w:eastAsia="宋体" w:cs="Times New Roman"/>
                <w:b/>
                <w:bCs/>
                <w:kern w:val="0"/>
                <w:sz w:val="21"/>
                <w:szCs w:val="21"/>
                <w:highlight w:val="none"/>
                <w:lang w:eastAsia="en-US"/>
              </w:rPr>
              <w:t>毕业要求</w:t>
            </w:r>
          </w:p>
        </w:tc>
        <w:tc>
          <w:tcPr>
            <w:tcW w:w="1523"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b/>
                <w:bCs/>
                <w:kern w:val="0"/>
                <w:sz w:val="21"/>
                <w:szCs w:val="21"/>
                <w:highlight w:val="none"/>
                <w:lang w:eastAsia="en-US"/>
              </w:rPr>
            </w:pPr>
            <w:r>
              <w:rPr>
                <w:rFonts w:hint="default" w:ascii="Times New Roman" w:hAnsi="Times New Roman" w:eastAsia="宋体" w:cs="Times New Roman"/>
                <w:b/>
                <w:bCs/>
                <w:kern w:val="0"/>
                <w:sz w:val="21"/>
                <w:szCs w:val="21"/>
                <w:highlight w:val="none"/>
                <w:lang w:val="en-US" w:eastAsia="zh-CN"/>
              </w:rPr>
              <w:t>二级</w:t>
            </w:r>
            <w:r>
              <w:rPr>
                <w:rFonts w:hint="default" w:ascii="Times New Roman" w:hAnsi="Times New Roman" w:eastAsia="宋体" w:cs="Times New Roman"/>
                <w:b/>
                <w:bCs/>
                <w:kern w:val="0"/>
                <w:sz w:val="21"/>
                <w:szCs w:val="21"/>
                <w:highlight w:val="none"/>
              </w:rPr>
              <w:t>观测</w:t>
            </w:r>
            <w:r>
              <w:rPr>
                <w:rFonts w:hint="default" w:ascii="Times New Roman" w:hAnsi="Times New Roman" w:eastAsia="宋体" w:cs="Times New Roman"/>
                <w:b/>
                <w:bCs/>
                <w:kern w:val="0"/>
                <w:sz w:val="21"/>
                <w:szCs w:val="21"/>
                <w:highlight w:val="none"/>
                <w:lang w:eastAsia="en-US"/>
              </w:rPr>
              <w:t>点</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评价课程</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课程权重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GR</w:t>
            </w:r>
            <w:r>
              <w:rPr>
                <w:rFonts w:hint="default" w:ascii="Times New Roman" w:hAnsi="Times New Roman" w:eastAsia="宋体" w:cs="Times New Roman"/>
                <w:kern w:val="0"/>
                <w:sz w:val="21"/>
                <w:szCs w:val="21"/>
                <w:highlight w:val="none"/>
              </w:rPr>
              <w:t>1工程知识：能够将数学、自然科学、工程基础和专业知识用于解决复杂工程问题</w:t>
            </w: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1.1 具备表述复杂化学工程问题的数学、自然科学、工程基础知识</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高等数学B</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rPr>
              <w:t>概率论与数理统计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rPr>
              <w:t>线性代数</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rPr>
              <w:t>大学物理B</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无机化学</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有机化学</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分析化学</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电工与电子技术B</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工程图学C</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化工设备机械基础</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化工仪表及自动化</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1.2 具备建立复杂化学工程问题的计算模型并进行推演求解的专业基础知识</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rPr>
              <w:t>物理化学A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eastAsia="en-US"/>
              </w:rPr>
              <w:t>化工原理</w:t>
            </w:r>
            <w:r>
              <w:rPr>
                <w:rFonts w:hint="default" w:ascii="Times New Roman" w:hAnsi="Times New Roman" w:eastAsia="宋体" w:cs="Times New Roman"/>
                <w:kern w:val="0"/>
                <w:sz w:val="21"/>
                <w:szCs w:val="21"/>
                <w:highlight w:val="none"/>
              </w:rPr>
              <w:t>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lang w:eastAsia="en-US"/>
              </w:rPr>
              <w:t>化工热力学</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化学反应工程</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1.3 具备分析、比较与综合复杂化学工程问题解决方案的专业知识</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lang w:eastAsia="en-US"/>
              </w:rPr>
              <w:t>化学工艺学</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lang w:eastAsia="en-US"/>
              </w:rPr>
              <w:t>化工设计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lang w:eastAsia="en-US"/>
              </w:rPr>
              <w:t>化工过程分析与合成</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lang w:eastAsia="en-US"/>
              </w:rPr>
              <w:t>化工技术经济</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lang w:eastAsia="en-US"/>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lang w:eastAsia="en-US"/>
              </w:rPr>
            </w:pPr>
            <w:r>
              <w:rPr>
                <w:rFonts w:hint="default" w:ascii="Times New Roman" w:hAnsi="Times New Roman" w:eastAsia="宋体" w:cs="Times New Roman"/>
                <w:kern w:val="0"/>
                <w:sz w:val="21"/>
                <w:szCs w:val="21"/>
                <w:highlight w:val="none"/>
                <w:lang w:eastAsia="en-US"/>
              </w:rPr>
              <w:t>化工安全与环保</w:t>
            </w:r>
            <w:r>
              <w:rPr>
                <w:rFonts w:hint="default" w:ascii="Times New Roman" w:hAnsi="Times New Roman" w:eastAsia="宋体" w:cs="Times New Roman"/>
                <w:kern w:val="0"/>
                <w:sz w:val="21"/>
                <w:szCs w:val="21"/>
                <w:highlight w:val="none"/>
              </w:rPr>
              <w:t>技术</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GR2</w:t>
            </w:r>
            <w:r>
              <w:rPr>
                <w:rFonts w:hint="default" w:ascii="Times New Roman" w:hAnsi="Times New Roman" w:eastAsia="宋体" w:cs="Times New Roman"/>
                <w:bCs/>
                <w:kern w:val="0"/>
                <w:sz w:val="21"/>
                <w:szCs w:val="21"/>
                <w:highlight w:val="none"/>
              </w:rPr>
              <w:t>问题分析：</w:t>
            </w:r>
            <w:r>
              <w:rPr>
                <w:rFonts w:hint="default" w:ascii="Times New Roman" w:hAnsi="Times New Roman" w:eastAsia="宋体" w:cs="Times New Roman"/>
                <w:kern w:val="0"/>
                <w:sz w:val="21"/>
                <w:szCs w:val="21"/>
                <w:highlight w:val="none"/>
              </w:rPr>
              <w:t>能够应用数学、自然科学和工程科学的基本原理，识别、表达、并通过文献研究分析复杂工程问题，以获得有效结论</w:t>
            </w: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2.1 能够应用掌握的数学、自然科学和工程科学的基本原理，识别和判断复杂化学工程问题的关键环节和参数</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化工原理A</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化工热力学</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化学反应工程</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化工分离工程</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2.2 能够应用数学、自然科学、工程科学的基本原理和数学模型方法，正确描述复杂化学工程问题</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化工原理A</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化工热力学</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化学反应工程</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MATLAB程序设计</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2.3 能认识到解决问题有多种方案可选择，并通过文献研究分析复杂化学工程问题，寻找可替代的解决方案</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科技文献检索与利用</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化工过程分析与合成</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化学工艺学</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创新创业教育(I)</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2.4 能运用数学、自然科学和工程科学的基本原理，并通过文献研究，分析复杂化学工程问题的影响因素，获得有效结论</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科技文献检索与利用</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化工工艺专业课程设计</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创新创业教育(II)</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化工综合创新实验</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毕业设计（论文）</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GR3</w:t>
            </w:r>
            <w:r>
              <w:rPr>
                <w:rFonts w:hint="default" w:ascii="Times New Roman" w:hAnsi="Times New Roman" w:eastAsia="宋体" w:cs="Times New Roman"/>
                <w:bCs/>
                <w:kern w:val="0"/>
                <w:sz w:val="21"/>
                <w:szCs w:val="21"/>
                <w:highlight w:val="none"/>
              </w:rPr>
              <w:t>设计/开发解决方案：</w:t>
            </w:r>
            <w:r>
              <w:rPr>
                <w:rFonts w:hint="default" w:ascii="Times New Roman" w:hAnsi="Times New Roman" w:eastAsia="宋体" w:cs="Times New Roman"/>
                <w:kern w:val="0"/>
                <w:sz w:val="21"/>
                <w:szCs w:val="21"/>
                <w:highlight w:val="none"/>
              </w:rPr>
              <w:t>能够设计针对复杂工程问题的解决方案，设计满足特定需求的系统、单元（部件）或工艺流程，并能够在设计环节中体现创新意识，考虑社会、健康、安全、法律、文化以及环境等因素</w:t>
            </w: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3.1掌握化学工程设计和产品开发全周期、全流程的基本设计/开发方法和技术，了解影响设计目标和技术方案的各种因素</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工程图学C</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化工设计</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化工过程模拟/精细化工工艺学</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3.2 能够设计针对复杂化学工程问题的解决方案，能够针对特定需求，完成化工单元（部件）的设计</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化工原理A</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化学反应工程</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化工原理课程设计</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化工仪表及自动化</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化工设备机械基础</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3.3 能够针对复杂化学工程问题进行生产系统或工艺流程设计与开发，设计过程中能够体现创新意识</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化工分离工程</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化工工艺专业课程设计</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化工综合创新实验</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化工实习实训A</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3.4 能够在化工设计环节中综合考虑社会、健康、安全、法律、文化及环境等制约因素</w:t>
            </w: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化工安全与环保技术</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化工技术经济</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化工原理课程设计</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化工工艺专业课程设计</w:t>
            </w:r>
          </w:p>
        </w:tc>
        <w:tc>
          <w:tcPr>
            <w:tcW w:w="572" w:type="pc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kern w:val="0"/>
                <w:sz w:val="21"/>
                <w:szCs w:val="21"/>
                <w:highlight w:val="none"/>
                <w:lang w:val="en-US" w:eastAsia="zh-CN"/>
              </w:rPr>
              <w:t>GR4</w:t>
            </w:r>
            <w:r>
              <w:rPr>
                <w:rFonts w:hint="default" w:ascii="Times New Roman" w:hAnsi="Times New Roman" w:eastAsia="宋体" w:cs="Times New Roman"/>
                <w:bCs/>
                <w:kern w:val="0"/>
                <w:sz w:val="21"/>
                <w:szCs w:val="21"/>
                <w:highlight w:val="none"/>
              </w:rPr>
              <w:t>研究：能够基于科学原理并采用科学方法对复杂化学工程问题进行研究，包括设计实验、分析与解释数据、并通过信息综合得到合理有效的结论</w:t>
            </w:r>
          </w:p>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4.1 能够基于化工与相关学科的科学原理，通过文献研究、信息分析等相关方法，调研和分析复杂化学工程问题的解决方案</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科技文献检索与利用</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创新创业教育(I)</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大学物理实验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基础化学实验1</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基础化学实验2</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基础化学实验4</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4.2 能够针对化工复杂工程问题的对象特征，分析并选择合理研究技术路线，设计实验方案</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创新创业教育(II)</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化工综合创新实验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基础化学实验3</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分析化学综合实验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4.3 能够根据实验方案构建实验系统，安全地开展实验，科学的采集实验数据</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分析化学综合实验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化工原理实验A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化学工程与工艺专业实验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化工实习实训A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4.4 能对实验结果进行分析和解释，并通过信息综合得到合理有效的结论</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分析化学综合实验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化工综合创新实验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化学工程与工艺专业实验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化工实习实训A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化工原理实验A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kern w:val="0"/>
                <w:sz w:val="21"/>
                <w:szCs w:val="21"/>
                <w:highlight w:val="none"/>
                <w:lang w:val="en-US" w:eastAsia="zh-CN"/>
              </w:rPr>
              <w:t>GR5</w:t>
            </w:r>
            <w:r>
              <w:rPr>
                <w:rFonts w:hint="default" w:ascii="Times New Roman" w:hAnsi="Times New Roman" w:eastAsia="宋体" w:cs="Times New Roman"/>
                <w:bCs/>
                <w:kern w:val="0"/>
                <w:sz w:val="21"/>
                <w:szCs w:val="21"/>
                <w:highlight w:val="none"/>
              </w:rPr>
              <w:t>使用现代工具：能够针对复杂工程问题，开发、选择与使用恰当的技术、资源、现代工程工具和信息技术工具，包括对复杂工程问题的预测与模拟，并能够理解其局限性</w:t>
            </w: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5.1 了解计算机程序语言、MATLAB、化工设计模拟软件等现代工程工具的使用原理和方法，并在应用过程中理解其局限性</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分析化学B</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298"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kern w:val="0"/>
                <w:sz w:val="21"/>
                <w:szCs w:val="21"/>
                <w:highlight w:val="none"/>
              </w:rPr>
            </w:pPr>
          </w:p>
        </w:tc>
        <w:tc>
          <w:tcPr>
            <w:tcW w:w="1523"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仪器分析</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298"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MATLAB程序设计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98"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化工设计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5.2 能够选择与使用恰当的仪器、信息资源、工程工具和化工设计模拟软件，对化工过程中的复杂工程问题进行分析、计算与设计</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仪器分析</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MATLAB程序设计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科技文献检索与利用</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化工工艺专业课程设计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化工综合创新实验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5.3 针对化工复杂工程问题，选用或开发通用和专业软件处理、分析数据，模拟和预测化工相关专业问题，并能分析现代工具的优势及局限性</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化工综合创新实验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MATLAB程序设计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毕业设计（论文）</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化学工程与工艺专业实验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b/>
                <w:bCs/>
                <w:kern w:val="0"/>
                <w:sz w:val="21"/>
                <w:szCs w:val="21"/>
                <w:highlight w:val="none"/>
                <w:lang w:val="en-US" w:eastAsia="zh-CN"/>
              </w:rPr>
              <w:t>GR6</w:t>
            </w:r>
            <w:r>
              <w:rPr>
                <w:rFonts w:hint="default" w:ascii="Times New Roman" w:hAnsi="Times New Roman" w:eastAsia="宋体" w:cs="Times New Roman"/>
                <w:b/>
                <w:bCs/>
                <w:kern w:val="0"/>
                <w:sz w:val="21"/>
                <w:szCs w:val="21"/>
                <w:highlight w:val="none"/>
              </w:rPr>
              <w:t>工程与社会：</w:t>
            </w:r>
            <w:r>
              <w:rPr>
                <w:rFonts w:hint="default" w:ascii="Times New Roman" w:hAnsi="Times New Roman" w:eastAsia="宋体" w:cs="Times New Roman"/>
                <w:kern w:val="0"/>
                <w:sz w:val="21"/>
                <w:szCs w:val="21"/>
                <w:highlight w:val="none"/>
              </w:rPr>
              <w:t>能够基于</w:t>
            </w:r>
            <w:r>
              <w:rPr>
                <w:rFonts w:hint="default" w:ascii="Times New Roman" w:hAnsi="Times New Roman" w:eastAsia="宋体" w:cs="Times New Roman"/>
                <w:bCs/>
                <w:kern w:val="0"/>
                <w:sz w:val="21"/>
                <w:szCs w:val="21"/>
                <w:highlight w:val="none"/>
              </w:rPr>
              <w:t>工程相关背景知识进行合理分析，评价专业工程实践和复杂工程问题解决方案对社会、健康、安全、法律以及文化的影响，并理解应承担的责任</w:t>
            </w: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6.1 了解本专业相关领域的技术标准体系、知识产权、产业政策和法律法规，了解企业HSE管理体系</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工程图学C</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思想道德与法治</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化工安全与环保技术</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认识实习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6.2 能合理分析、评价专业工程实践和复杂化学工程问题解决方案对社会、健康、安全、法律、文化的影响，以及这些制约因素对项目实施的影响，并理解应承担的责任</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化工工艺专业课程设计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认识实习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毕业设计（论文）</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b/>
                <w:bCs/>
                <w:kern w:val="0"/>
                <w:sz w:val="21"/>
                <w:szCs w:val="21"/>
                <w:highlight w:val="none"/>
                <w:lang w:val="en-US" w:eastAsia="zh-CN"/>
              </w:rPr>
              <w:t>GR7</w:t>
            </w:r>
            <w:r>
              <w:rPr>
                <w:rFonts w:hint="default" w:ascii="Times New Roman" w:hAnsi="Times New Roman" w:eastAsia="宋体" w:cs="Times New Roman"/>
                <w:b/>
                <w:bCs/>
                <w:kern w:val="0"/>
                <w:sz w:val="21"/>
                <w:szCs w:val="21"/>
                <w:highlight w:val="none"/>
              </w:rPr>
              <w:t>环境和可持续发展：</w:t>
            </w:r>
            <w:r>
              <w:rPr>
                <w:rFonts w:hint="default" w:ascii="Times New Roman" w:hAnsi="Times New Roman" w:eastAsia="宋体" w:cs="Times New Roman"/>
                <w:kern w:val="0"/>
                <w:sz w:val="21"/>
                <w:szCs w:val="21"/>
                <w:highlight w:val="none"/>
              </w:rPr>
              <w:t>能够理解和评价针对复杂工程问题的工程实践对环境、社会可持续发展的影响</w:t>
            </w: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7.1理解复杂化学工程问题的工程实践对环境、社会可持续发展的影响</w:t>
            </w: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化工分离工程</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专业导论</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认识实习</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毕业实习</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7.2能够对复杂化学工程问题的工程实践对环境、社会可持续发展的影响进行评价</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化工安全与环保技术</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化工工艺专业课程设计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毕业设计（论文）</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b/>
                <w:bCs/>
                <w:kern w:val="0"/>
                <w:sz w:val="21"/>
                <w:szCs w:val="21"/>
                <w:highlight w:val="none"/>
                <w:lang w:val="en-US" w:eastAsia="zh-CN"/>
              </w:rPr>
              <w:t>GR8</w:t>
            </w:r>
            <w:r>
              <w:rPr>
                <w:rFonts w:hint="default" w:ascii="Times New Roman" w:hAnsi="Times New Roman" w:eastAsia="宋体" w:cs="Times New Roman"/>
                <w:b/>
                <w:bCs/>
                <w:kern w:val="0"/>
                <w:sz w:val="21"/>
                <w:szCs w:val="21"/>
                <w:highlight w:val="none"/>
              </w:rPr>
              <w:t>职业规范：</w:t>
            </w:r>
            <w:r>
              <w:rPr>
                <w:rFonts w:hint="default" w:ascii="Times New Roman" w:hAnsi="Times New Roman" w:eastAsia="宋体" w:cs="Times New Roman"/>
                <w:kern w:val="0"/>
                <w:sz w:val="21"/>
                <w:szCs w:val="21"/>
                <w:highlight w:val="none"/>
              </w:rPr>
              <w:t>具有人文社会科学素养、社会责任感，能够在工程实践中理解并遵守工程职业道德和规范，履行责任</w:t>
            </w: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8.1 具备以人为本和职业担当的人文社会科学素养和社会责任感，践行社会主义核心价值观，理解个人与社会的关系，了解中国国情</w:t>
            </w: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毛泽东思想与中国特色社会主义理论体系概论</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马克思主义基本原理概论</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习近平新时代中国特色社会主义思想概论</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中国近现代史纲要</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思想道德与法治</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8.2 理解并在工程实践中自觉遵守诚实公正、诚信守则的工程职业道德和规范</w:t>
            </w: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专业导论</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形势与政策</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认识实习</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专业实习</w:t>
            </w:r>
          </w:p>
        </w:tc>
        <w:tc>
          <w:tcPr>
            <w:tcW w:w="572" w:type="pc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widowControl/>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8.3 理解并自觉履行工程师对公众的安全、健康和福祉，以及环境保护的社会责任</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化工工艺专业课程设计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专业导论</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化工安全与环保技术</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b/>
                <w:bCs/>
                <w:kern w:val="0"/>
                <w:sz w:val="21"/>
                <w:szCs w:val="21"/>
                <w:highlight w:val="none"/>
                <w:lang w:val="en-US" w:eastAsia="zh-CN"/>
              </w:rPr>
              <w:t>GR9</w:t>
            </w:r>
            <w:r>
              <w:rPr>
                <w:rFonts w:hint="default" w:ascii="Times New Roman" w:hAnsi="Times New Roman" w:eastAsia="宋体" w:cs="Times New Roman"/>
                <w:b/>
                <w:bCs/>
                <w:kern w:val="0"/>
                <w:sz w:val="21"/>
                <w:szCs w:val="21"/>
                <w:highlight w:val="none"/>
              </w:rPr>
              <w:t>个人和团队：</w:t>
            </w:r>
            <w:r>
              <w:rPr>
                <w:rFonts w:hint="default" w:ascii="Times New Roman" w:hAnsi="Times New Roman" w:eastAsia="宋体" w:cs="Times New Roman"/>
                <w:kern w:val="0"/>
                <w:sz w:val="21"/>
                <w:szCs w:val="21"/>
                <w:highlight w:val="none"/>
              </w:rPr>
              <w:t>能够在多学科背景下的团队中承担个体、团队成员以及负责人的角色</w:t>
            </w: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9.1 能够在团队中作为个体与团队成员进行有效沟通，完成个体所承担角色的任务</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大学生创新基础</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工程训练D</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军事训练</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军事理论</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大学体育</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9.2 能够胜任多学科团队成员的角色，主动参与团队决策，做出建设性贡献</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化工综合创新实验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化工原理实验A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化学工程与工艺专业实验</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9.3 能够在多学科团队中作为负责人组织、协调和指挥团队开展工作</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化工实习实训A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认识实习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b/>
                <w:bCs/>
                <w:kern w:val="0"/>
                <w:sz w:val="21"/>
                <w:szCs w:val="21"/>
                <w:highlight w:val="none"/>
                <w:lang w:val="en-US" w:eastAsia="zh-CN"/>
              </w:rPr>
              <w:t>GR10</w:t>
            </w:r>
            <w:r>
              <w:rPr>
                <w:rFonts w:hint="default" w:ascii="Times New Roman" w:hAnsi="Times New Roman" w:eastAsia="宋体" w:cs="Times New Roman"/>
                <w:b/>
                <w:bCs/>
                <w:kern w:val="0"/>
                <w:sz w:val="21"/>
                <w:szCs w:val="21"/>
                <w:highlight w:val="none"/>
              </w:rPr>
              <w:t>沟通：</w:t>
            </w:r>
            <w:r>
              <w:rPr>
                <w:rFonts w:hint="default" w:ascii="Times New Roman" w:hAnsi="Times New Roman" w:eastAsia="宋体" w:cs="Times New Roman"/>
                <w:bCs/>
                <w:kern w:val="0"/>
                <w:sz w:val="21"/>
                <w:szCs w:val="21"/>
                <w:highlight w:val="none"/>
              </w:rPr>
              <w:t>能够就复杂工程问题与业界同行及社会公众进行有效沟通和交流，包括撰写报告和设计文稿、陈述发言、清晰表达或回应指令。并具备一定的国际视野，能够在跨文化背景下进行沟通和交流</w:t>
            </w: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10.1 能够就复杂化学工程问题与业界同行及社会公众进行有效沟通和交流，包括撰写报告和课程设计和毕业设计（论文），陈述发言、清晰表达或回应指令</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化工工艺专业课程设计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毕业设计（论文）</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创新创业教育(II)</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10.2 至少掌握一门外语，具有国际视野及国际交流与合作的技能</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大学英语</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专业英语</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科技文献检索与利用</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创新创业教育(II)</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毕业设计（论文）</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b/>
                <w:bCs/>
                <w:kern w:val="0"/>
                <w:sz w:val="21"/>
                <w:szCs w:val="21"/>
                <w:highlight w:val="none"/>
                <w:lang w:val="en-US" w:eastAsia="zh-CN"/>
              </w:rPr>
              <w:t>GR11</w:t>
            </w:r>
            <w:r>
              <w:rPr>
                <w:rFonts w:hint="default" w:ascii="Times New Roman" w:hAnsi="Times New Roman" w:eastAsia="宋体" w:cs="Times New Roman"/>
                <w:b/>
                <w:bCs/>
                <w:kern w:val="0"/>
                <w:sz w:val="21"/>
                <w:szCs w:val="21"/>
                <w:highlight w:val="none"/>
              </w:rPr>
              <w:t>项目管理：</w:t>
            </w:r>
            <w:r>
              <w:rPr>
                <w:rFonts w:hint="default" w:ascii="Times New Roman" w:hAnsi="Times New Roman" w:eastAsia="宋体" w:cs="Times New Roman"/>
                <w:kern w:val="0"/>
                <w:sz w:val="21"/>
                <w:szCs w:val="21"/>
                <w:highlight w:val="none"/>
              </w:rPr>
              <w:t>理解并掌握工程管理原理与经济决策方法，并能在多学科环境中应用</w:t>
            </w: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11.1 了解化工企业和车间的生产、运行、管理，理解并掌握化工过程的工程管理原理和技术经济决策的基本方法</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认识实习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毕业实习</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化工技术经济</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11.2 理解工程项目中涉及的工程管理与经济决策问题，并能在多学科环境中将工程管理与经济决策方法应用到复杂化工过程的设计开发解决方案中</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化工工艺专业课程设计</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毕业设计（论文）</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化工技术经济</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eastAsia" w:ascii="Times New Roman" w:hAnsi="Times New Roman" w:eastAsia="宋体" w:cs="Times New Roman"/>
                <w:b/>
                <w:bCs/>
                <w:kern w:val="0"/>
                <w:sz w:val="21"/>
                <w:szCs w:val="21"/>
                <w:highlight w:val="none"/>
                <w:lang w:val="en-US" w:eastAsia="zh-CN"/>
              </w:rPr>
              <w:t>GR12</w:t>
            </w:r>
            <w:r>
              <w:rPr>
                <w:rFonts w:hint="default" w:ascii="Times New Roman" w:hAnsi="Times New Roman" w:eastAsia="宋体" w:cs="Times New Roman"/>
                <w:b/>
                <w:bCs/>
                <w:kern w:val="0"/>
                <w:sz w:val="21"/>
                <w:szCs w:val="21"/>
                <w:highlight w:val="none"/>
              </w:rPr>
              <w:t>终身学习：</w:t>
            </w:r>
            <w:r>
              <w:rPr>
                <w:rFonts w:hint="default" w:ascii="Times New Roman" w:hAnsi="Times New Roman" w:eastAsia="宋体" w:cs="Times New Roman"/>
                <w:kern w:val="0"/>
                <w:sz w:val="21"/>
                <w:szCs w:val="21"/>
                <w:highlight w:val="none"/>
              </w:rPr>
              <w:t>具有自主学习和终身学习的意识，有不断学习和适应发展的能力</w:t>
            </w: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12.1 身心健康，能在社会发展的大背景下，正确认识到自主和终身学习的必要性</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习近平新时代中国特色社会主义思想概论</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大学生心理健康</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大学体育</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创新创业教育(I)</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left"/>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12.2 针对个人职业发展，具有终身学习和适应化工及相关行业领域新发展的能力</w:t>
            </w: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化工原理A</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化工热力学</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化学反应工程</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化学工艺学</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98"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523"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contextualSpacing/>
              <w:jc w:val="left"/>
              <w:textAlignment w:val="auto"/>
              <w:rPr>
                <w:rFonts w:hint="default" w:ascii="Times New Roman" w:hAnsi="Times New Roman" w:eastAsia="宋体" w:cs="Times New Roman"/>
                <w:bCs/>
                <w:kern w:val="0"/>
                <w:sz w:val="21"/>
                <w:szCs w:val="21"/>
                <w:highlight w:val="none"/>
              </w:rPr>
            </w:pPr>
          </w:p>
        </w:tc>
        <w:tc>
          <w:tcPr>
            <w:tcW w:w="1605" w:type="pct"/>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毕业设计（论文）</w:t>
            </w:r>
          </w:p>
        </w:tc>
        <w:tc>
          <w:tcPr>
            <w:tcW w:w="572" w:type="pct"/>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0.20</w:t>
            </w:r>
          </w:p>
        </w:tc>
      </w:tr>
    </w:tbl>
    <w:p>
      <w:pPr>
        <w:widowControl w:val="0"/>
        <w:numPr>
          <w:ilvl w:val="0"/>
          <w:numId w:val="0"/>
        </w:numPr>
        <w:spacing w:before="240" w:after="120" w:line="340" w:lineRule="auto"/>
        <w:jc w:val="both"/>
        <w:rPr>
          <w:rFonts w:hint="eastAsia" w:ascii="黑体" w:hAnsi="黑体" w:eastAsia="黑体" w:cs="黑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DF9AC"/>
    <w:multiLevelType w:val="singleLevel"/>
    <w:tmpl w:val="704DF9A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mMzZTFiMmNjNjRhZjAxNTdhNzdkNzE1MjhjYTMifQ=="/>
  </w:docVars>
  <w:rsids>
    <w:rsidRoot w:val="00F925AF"/>
    <w:rsid w:val="000158E3"/>
    <w:rsid w:val="00031886"/>
    <w:rsid w:val="000437B7"/>
    <w:rsid w:val="000464D0"/>
    <w:rsid w:val="00063CDB"/>
    <w:rsid w:val="000B667A"/>
    <w:rsid w:val="000E4777"/>
    <w:rsid w:val="000F739B"/>
    <w:rsid w:val="00124DF7"/>
    <w:rsid w:val="0012633A"/>
    <w:rsid w:val="001314D9"/>
    <w:rsid w:val="00177BF8"/>
    <w:rsid w:val="001B6DD4"/>
    <w:rsid w:val="001C21E9"/>
    <w:rsid w:val="0020624D"/>
    <w:rsid w:val="00234B98"/>
    <w:rsid w:val="00240FB5"/>
    <w:rsid w:val="002628A0"/>
    <w:rsid w:val="00273C50"/>
    <w:rsid w:val="002B3E68"/>
    <w:rsid w:val="002B6BA8"/>
    <w:rsid w:val="002C4B06"/>
    <w:rsid w:val="002F19E7"/>
    <w:rsid w:val="002F5644"/>
    <w:rsid w:val="002F7C0A"/>
    <w:rsid w:val="003175F6"/>
    <w:rsid w:val="00333105"/>
    <w:rsid w:val="003A298F"/>
    <w:rsid w:val="004209CA"/>
    <w:rsid w:val="0043481F"/>
    <w:rsid w:val="00440C60"/>
    <w:rsid w:val="00443CB6"/>
    <w:rsid w:val="00447596"/>
    <w:rsid w:val="00480964"/>
    <w:rsid w:val="004E7282"/>
    <w:rsid w:val="00543E5E"/>
    <w:rsid w:val="005841F0"/>
    <w:rsid w:val="0059143D"/>
    <w:rsid w:val="00594F46"/>
    <w:rsid w:val="005E0580"/>
    <w:rsid w:val="006025C6"/>
    <w:rsid w:val="00604516"/>
    <w:rsid w:val="00610DE8"/>
    <w:rsid w:val="0063212E"/>
    <w:rsid w:val="00643108"/>
    <w:rsid w:val="00671C9C"/>
    <w:rsid w:val="0069021F"/>
    <w:rsid w:val="006A6C35"/>
    <w:rsid w:val="006C7B18"/>
    <w:rsid w:val="007253FF"/>
    <w:rsid w:val="007C186C"/>
    <w:rsid w:val="007D6D46"/>
    <w:rsid w:val="007D7AF5"/>
    <w:rsid w:val="00813F42"/>
    <w:rsid w:val="00814490"/>
    <w:rsid w:val="00814606"/>
    <w:rsid w:val="008250AE"/>
    <w:rsid w:val="00826790"/>
    <w:rsid w:val="00832F4C"/>
    <w:rsid w:val="0084182F"/>
    <w:rsid w:val="0085191B"/>
    <w:rsid w:val="008568E1"/>
    <w:rsid w:val="00882B85"/>
    <w:rsid w:val="008D579F"/>
    <w:rsid w:val="009048EA"/>
    <w:rsid w:val="00907D2D"/>
    <w:rsid w:val="00940A0A"/>
    <w:rsid w:val="009C6CEF"/>
    <w:rsid w:val="00A15054"/>
    <w:rsid w:val="00A2363B"/>
    <w:rsid w:val="00A257EA"/>
    <w:rsid w:val="00A35A23"/>
    <w:rsid w:val="00AA2220"/>
    <w:rsid w:val="00AD52A5"/>
    <w:rsid w:val="00AE42A6"/>
    <w:rsid w:val="00AF414C"/>
    <w:rsid w:val="00AF4F81"/>
    <w:rsid w:val="00B06F01"/>
    <w:rsid w:val="00B1530E"/>
    <w:rsid w:val="00B66A33"/>
    <w:rsid w:val="00BA43E2"/>
    <w:rsid w:val="00BD0C16"/>
    <w:rsid w:val="00BE27BD"/>
    <w:rsid w:val="00C102F3"/>
    <w:rsid w:val="00C34122"/>
    <w:rsid w:val="00C4411E"/>
    <w:rsid w:val="00C663AD"/>
    <w:rsid w:val="00C913D5"/>
    <w:rsid w:val="00CE3DE8"/>
    <w:rsid w:val="00D268FF"/>
    <w:rsid w:val="00D8690D"/>
    <w:rsid w:val="00D87305"/>
    <w:rsid w:val="00DB3E26"/>
    <w:rsid w:val="00E2332A"/>
    <w:rsid w:val="00E63BD0"/>
    <w:rsid w:val="00EB4A0B"/>
    <w:rsid w:val="00EC086D"/>
    <w:rsid w:val="00EC5E2D"/>
    <w:rsid w:val="00EC658F"/>
    <w:rsid w:val="00F031DC"/>
    <w:rsid w:val="00F06C1A"/>
    <w:rsid w:val="00F1503E"/>
    <w:rsid w:val="00F15811"/>
    <w:rsid w:val="00F4634B"/>
    <w:rsid w:val="00F925AF"/>
    <w:rsid w:val="00FA487C"/>
    <w:rsid w:val="00FB31D8"/>
    <w:rsid w:val="00FB5A4B"/>
    <w:rsid w:val="00FC6F27"/>
    <w:rsid w:val="00FF0C93"/>
    <w:rsid w:val="22E82819"/>
    <w:rsid w:val="289D1444"/>
    <w:rsid w:val="40853ECB"/>
    <w:rsid w:val="59855F1F"/>
    <w:rsid w:val="66E63AC5"/>
    <w:rsid w:val="74E3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font4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eastAsia" w:ascii="宋体" w:hAnsi="宋体" w:eastAsia="宋体" w:cs="宋体"/>
      <w:color w:val="FF0000"/>
      <w:sz w:val="21"/>
      <w:szCs w:val="21"/>
      <w:u w:val="none"/>
    </w:rPr>
  </w:style>
  <w:style w:type="table" w:customStyle="1" w:styleId="13">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741</Words>
  <Characters>4230</Characters>
  <Lines>35</Lines>
  <Paragraphs>9</Paragraphs>
  <TotalTime>8</TotalTime>
  <ScaleCrop>false</ScaleCrop>
  <LinksUpToDate>false</LinksUpToDate>
  <CharactersWithSpaces>4962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2021-08-30T07:01:00Z</dcterms:created>
  <dc:creator>陈</dc:creator>
  <cp:lastModifiedBy>欢乐年华</cp:lastModifiedBy>
  <cp:lastPrinted>2019-01-03T01:40:00Z</cp:lastPrinted>
  <dcterms:modified xsi:type="dcterms:W3CDTF">2023-08-10T08:49:15Z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57E55DCAD8E74D82AE0C91B02F778CE8_13</vt:lpwstr>
  </property>
</Properties>
</file>