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40" w:lineRule="exact"/>
        <w:jc w:val="center"/>
        <w:rPr>
          <w:rFonts w:hint="eastAsia" w:ascii="黑体" w:hAnsi="黑体" w:eastAsia="黑体" w:cs="黑体"/>
          <w:b w:val="0"/>
          <w:bCs/>
          <w:sz w:val="32"/>
          <w:szCs w:val="32"/>
        </w:rPr>
      </w:pPr>
      <w:bookmarkStart w:id="3" w:name="_GoBack"/>
      <w:bookmarkEnd w:id="3"/>
      <w:r>
        <w:rPr>
          <w:rFonts w:hint="eastAsia" w:ascii="黑体" w:hAnsi="黑体" w:eastAsia="黑体" w:cs="黑体"/>
          <w:b w:val="0"/>
          <w:bCs/>
          <w:sz w:val="32"/>
          <w:szCs w:val="32"/>
        </w:rPr>
        <w:t>合肥工业大学</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化学工程与工艺</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专业指导性教学计划</w:t>
      </w:r>
    </w:p>
    <w:p>
      <w:pPr>
        <w:spacing w:beforeLines="50" w:afterLines="50" w:line="440" w:lineRule="exact"/>
        <w:rPr>
          <w:rFonts w:hint="eastAsia" w:ascii="黑体" w:hAnsi="黑体" w:eastAsia="黑体" w:cs="黑体"/>
          <w:b/>
          <w:bCs/>
          <w:sz w:val="24"/>
          <w:szCs w:val="24"/>
        </w:rPr>
      </w:pPr>
      <w:r>
        <w:rPr>
          <w:rFonts w:hint="eastAsia" w:ascii="黑体" w:hAnsi="黑体" w:eastAsia="黑体" w:cs="黑体"/>
          <w:b/>
          <w:bCs/>
          <w:sz w:val="24"/>
          <w:szCs w:val="24"/>
        </w:rPr>
        <w:t>一、培养目的与培养目标</w:t>
      </w:r>
    </w:p>
    <w:p>
      <w:pPr>
        <w:spacing w:line="440" w:lineRule="exact"/>
        <w:ind w:firstLine="480" w:firstLineChars="200"/>
        <w:rPr>
          <w:rFonts w:hint="eastAsia" w:ascii="黑体" w:hAnsi="黑体" w:eastAsia="黑体" w:cs="黑体"/>
          <w:b/>
          <w:bCs/>
          <w:sz w:val="24"/>
          <w:szCs w:val="24"/>
        </w:rPr>
      </w:pPr>
      <w:r>
        <w:rPr>
          <w:rFonts w:hint="eastAsia" w:ascii="黑体" w:hAnsi="黑体" w:eastAsia="黑体" w:cs="黑体"/>
          <w:b/>
          <w:bCs/>
          <w:sz w:val="24"/>
          <w:szCs w:val="24"/>
        </w:rPr>
        <w:t>培养目的：</w:t>
      </w:r>
    </w:p>
    <w:p>
      <w:pPr>
        <w:spacing w:line="440" w:lineRule="exact"/>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培养德才兼备，适应社会、经济、科技发展需要，掌握扎实的基础知识和化学工程与工艺专业知识，具备从事化工生产控制与管理、化工产品和过程研究与开发、化工装置设计与放大等能力，具备较强的工程实践能力，具有创新意识和国际化视野，具有较强的社会责任感、良好的职业道德，能在化学工业及其相关领域从事产品研制、技术开发、工程设计、生产管理、产品营销等工作的工程技术人才</w:t>
      </w:r>
      <w:r>
        <w:rPr>
          <w:rFonts w:hint="eastAsia" w:ascii="Times New Roman" w:hAnsi="Times New Roman"/>
          <w:sz w:val="24"/>
          <w:szCs w:val="24"/>
          <w:lang w:eastAsia="zh-CN"/>
        </w:rPr>
        <w:t>。</w:t>
      </w:r>
    </w:p>
    <w:p>
      <w:pPr>
        <w:spacing w:line="440" w:lineRule="exact"/>
        <w:ind w:firstLine="480" w:firstLineChars="200"/>
        <w:rPr>
          <w:rFonts w:hint="eastAsia" w:ascii="黑体" w:hAnsi="黑体" w:eastAsia="黑体" w:cs="黑体"/>
          <w:b/>
          <w:sz w:val="24"/>
          <w:szCs w:val="24"/>
        </w:rPr>
      </w:pPr>
      <w:r>
        <w:rPr>
          <w:rFonts w:hint="eastAsia" w:ascii="黑体" w:hAnsi="黑体" w:eastAsia="黑体" w:cs="黑体"/>
          <w:b/>
          <w:sz w:val="24"/>
          <w:szCs w:val="24"/>
        </w:rPr>
        <w:t>培养目标：</w:t>
      </w:r>
    </w:p>
    <w:p>
      <w:pPr>
        <w:spacing w:line="440" w:lineRule="exact"/>
        <w:ind w:firstLine="480" w:firstLineChars="200"/>
        <w:rPr>
          <w:rFonts w:ascii="Times New Roman" w:hAnsi="Times New Roman"/>
          <w:sz w:val="24"/>
          <w:szCs w:val="24"/>
        </w:rPr>
      </w:pPr>
      <w:r>
        <w:rPr>
          <w:rFonts w:ascii="Times New Roman" w:hAnsi="Times New Roman"/>
          <w:sz w:val="24"/>
          <w:szCs w:val="24"/>
        </w:rPr>
        <w:t>LO1）具有运用数学、自然科学、工程基础和化工专业知识解决复杂的化工领域工程问题的能力。</w:t>
      </w:r>
    </w:p>
    <w:p>
      <w:pPr>
        <w:spacing w:line="440" w:lineRule="exact"/>
        <w:ind w:firstLine="480" w:firstLineChars="200"/>
        <w:rPr>
          <w:rFonts w:ascii="Times New Roman" w:hAnsi="Times New Roman"/>
          <w:sz w:val="24"/>
          <w:szCs w:val="24"/>
        </w:rPr>
      </w:pPr>
      <w:r>
        <w:rPr>
          <w:rFonts w:ascii="Times New Roman" w:hAnsi="Times New Roman"/>
          <w:sz w:val="24"/>
          <w:szCs w:val="24"/>
        </w:rPr>
        <w:t>LO2) 具有应用数学、自然科学和工程科学的基本原理，识别、表达、并通过文献研究分析复杂的化工领域工程问题，并获得有效结论的能力。</w:t>
      </w:r>
    </w:p>
    <w:p>
      <w:pPr>
        <w:spacing w:line="440" w:lineRule="exact"/>
        <w:ind w:firstLine="480" w:firstLineChars="200"/>
        <w:rPr>
          <w:rFonts w:ascii="Times New Roman" w:hAnsi="Times New Roman"/>
          <w:sz w:val="24"/>
          <w:szCs w:val="24"/>
        </w:rPr>
      </w:pPr>
      <w:r>
        <w:rPr>
          <w:rFonts w:ascii="Times New Roman" w:hAnsi="Times New Roman"/>
          <w:sz w:val="24"/>
          <w:szCs w:val="24"/>
        </w:rPr>
        <w:t>LO3) 能够设计针对复杂化工领域工程问题的解决方案，设计满足特定需求的化工系统、化工单元（部件）或化工工艺流程，并能够在设计环节中体现创新意识，考虑社会、健康、安全、法律、文化以及环境等因素。</w:t>
      </w:r>
    </w:p>
    <w:p>
      <w:pPr>
        <w:spacing w:line="440" w:lineRule="exact"/>
        <w:ind w:firstLine="480" w:firstLineChars="200"/>
        <w:rPr>
          <w:rFonts w:ascii="Times New Roman" w:hAnsi="Times New Roman"/>
          <w:sz w:val="24"/>
          <w:szCs w:val="24"/>
        </w:rPr>
      </w:pPr>
      <w:r>
        <w:rPr>
          <w:rFonts w:ascii="Times New Roman" w:hAnsi="Times New Roman"/>
          <w:sz w:val="24"/>
          <w:szCs w:val="24"/>
        </w:rPr>
        <w:t>LO4) 能够基于科学原理并采用科学方法对复杂化工领域工程问题进行研究，包括设计实验、分析与解释数据、并通过信息综合得到合理有效的结论。</w:t>
      </w:r>
    </w:p>
    <w:p>
      <w:pPr>
        <w:spacing w:line="440" w:lineRule="exact"/>
        <w:ind w:firstLine="480" w:firstLineChars="200"/>
        <w:rPr>
          <w:rFonts w:ascii="Times New Roman" w:hAnsi="Times New Roman"/>
          <w:sz w:val="24"/>
          <w:szCs w:val="24"/>
        </w:rPr>
      </w:pPr>
      <w:r>
        <w:rPr>
          <w:rFonts w:ascii="Times New Roman" w:hAnsi="Times New Roman"/>
          <w:sz w:val="24"/>
          <w:szCs w:val="24"/>
        </w:rPr>
        <w:t>LO5) 能够针对复杂化工领域工程问题，开发、选择与使用恰当的技术、资源、现代工程工具和信息技术工具，包括对复杂工程问题的预测与模拟，并能够理解其局限性。</w:t>
      </w:r>
    </w:p>
    <w:p>
      <w:pPr>
        <w:spacing w:line="440" w:lineRule="exact"/>
        <w:ind w:firstLine="480" w:firstLineChars="200"/>
        <w:rPr>
          <w:rFonts w:ascii="Times New Roman" w:hAnsi="Times New Roman"/>
          <w:sz w:val="24"/>
          <w:szCs w:val="24"/>
        </w:rPr>
      </w:pPr>
      <w:r>
        <w:rPr>
          <w:rFonts w:ascii="Times New Roman" w:hAnsi="Times New Roman"/>
          <w:sz w:val="24"/>
          <w:szCs w:val="24"/>
        </w:rPr>
        <w:t>LO6) 能够基于工程相关背景知识进行合理分析，评价化工专业工程实践和复杂工程问题解决方案对社会、健康、安全、法律以及文化的影响，并理解应承担的责任。</w:t>
      </w:r>
    </w:p>
    <w:p>
      <w:pPr>
        <w:spacing w:line="440" w:lineRule="exact"/>
        <w:ind w:firstLine="480" w:firstLineChars="200"/>
        <w:rPr>
          <w:rFonts w:ascii="Times New Roman" w:hAnsi="Times New Roman"/>
          <w:sz w:val="24"/>
          <w:szCs w:val="24"/>
        </w:rPr>
      </w:pPr>
      <w:r>
        <w:rPr>
          <w:rFonts w:ascii="Times New Roman" w:hAnsi="Times New Roman"/>
          <w:sz w:val="24"/>
          <w:szCs w:val="24"/>
        </w:rPr>
        <w:t>LO7) 能够理解和评价针对复杂化工领域工程问题的专业工程实践对环境、社会可持续发展的影响。</w:t>
      </w:r>
    </w:p>
    <w:p>
      <w:pPr>
        <w:spacing w:line="440" w:lineRule="exact"/>
        <w:ind w:firstLine="480" w:firstLineChars="200"/>
        <w:rPr>
          <w:rFonts w:ascii="Times New Roman" w:hAnsi="Times New Roman"/>
          <w:sz w:val="24"/>
          <w:szCs w:val="24"/>
        </w:rPr>
      </w:pPr>
      <w:r>
        <w:rPr>
          <w:rFonts w:ascii="Times New Roman" w:hAnsi="Times New Roman"/>
          <w:sz w:val="24"/>
          <w:szCs w:val="24"/>
        </w:rPr>
        <w:t>LO8) 具有人文社会科学素养、社会责任感，能够在化工领域工程实践中理解并遵守工程职业道德和规范，履行责任。</w:t>
      </w:r>
    </w:p>
    <w:p>
      <w:pPr>
        <w:spacing w:line="440" w:lineRule="exact"/>
        <w:ind w:firstLine="480" w:firstLineChars="200"/>
        <w:rPr>
          <w:rFonts w:ascii="Times New Roman" w:hAnsi="Times New Roman"/>
          <w:sz w:val="24"/>
          <w:szCs w:val="24"/>
        </w:rPr>
      </w:pPr>
      <w:r>
        <w:rPr>
          <w:rFonts w:ascii="Times New Roman" w:hAnsi="Times New Roman"/>
          <w:sz w:val="24"/>
          <w:szCs w:val="24"/>
        </w:rPr>
        <w:t>LO9) 能够在多学科背景下的团队中承担个体、团队成员以及负责人的角色。</w:t>
      </w:r>
    </w:p>
    <w:p>
      <w:pPr>
        <w:spacing w:line="440" w:lineRule="exact"/>
        <w:ind w:firstLine="480" w:firstLineChars="200"/>
        <w:rPr>
          <w:rFonts w:ascii="Times New Roman" w:hAnsi="Times New Roman"/>
          <w:sz w:val="24"/>
          <w:szCs w:val="24"/>
        </w:rPr>
      </w:pPr>
      <w:r>
        <w:rPr>
          <w:rFonts w:ascii="Times New Roman" w:hAnsi="Times New Roman"/>
          <w:sz w:val="24"/>
          <w:szCs w:val="24"/>
        </w:rPr>
        <w:t>LO10) 能够就复杂化工领域工程问题与业界同行及社会公众进行有效沟通和交流，包括撰写报告和设计文稿、陈述发言、清晰表达或回应指令。并具备一定的国际视野，能够在跨文化背景下进行沟通和交流。</w:t>
      </w:r>
    </w:p>
    <w:p>
      <w:pPr>
        <w:spacing w:line="440" w:lineRule="exact"/>
        <w:ind w:firstLine="480" w:firstLineChars="200"/>
        <w:rPr>
          <w:rFonts w:ascii="Times New Roman" w:hAnsi="Times New Roman"/>
          <w:sz w:val="24"/>
          <w:szCs w:val="24"/>
        </w:rPr>
      </w:pPr>
      <w:r>
        <w:rPr>
          <w:rFonts w:ascii="Times New Roman" w:hAnsi="Times New Roman"/>
          <w:sz w:val="24"/>
          <w:szCs w:val="24"/>
        </w:rPr>
        <w:t>LO11) 理解并掌握化工工程管理原理与经济决策方法，并能在多学科环境中应用。</w:t>
      </w:r>
    </w:p>
    <w:p>
      <w:pPr>
        <w:spacing w:line="440" w:lineRule="exact"/>
        <w:ind w:firstLine="480" w:firstLineChars="200"/>
        <w:rPr>
          <w:rFonts w:ascii="Times New Roman" w:hAnsi="Times New Roman"/>
          <w:sz w:val="24"/>
          <w:szCs w:val="24"/>
        </w:rPr>
      </w:pPr>
      <w:r>
        <w:rPr>
          <w:rFonts w:ascii="Times New Roman" w:hAnsi="Times New Roman"/>
          <w:sz w:val="24"/>
          <w:szCs w:val="24"/>
        </w:rPr>
        <w:t>LO12) 具有自主学习和终身学习的意识，有不断学习和适应发展的能力。</w:t>
      </w:r>
    </w:p>
    <w:p>
      <w:pPr>
        <w:spacing w:line="420" w:lineRule="exact"/>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化学工程与工艺专业</w:t>
      </w:r>
      <w:bookmarkStart w:id="0" w:name="OLE_LINK1"/>
      <w:r>
        <w:rPr>
          <w:rFonts w:hint="eastAsia" w:ascii="黑体" w:hAnsi="黑体" w:eastAsia="黑体" w:cs="黑体"/>
          <w:color w:val="000000"/>
          <w:sz w:val="24"/>
          <w:szCs w:val="24"/>
        </w:rPr>
        <w:t>实践能力标准：</w:t>
      </w:r>
    </w:p>
    <w:bookmarkEnd w:id="0"/>
    <w:p>
      <w:pPr>
        <w:tabs>
          <w:tab w:val="left" w:pos="1134"/>
        </w:tabs>
        <w:spacing w:line="420" w:lineRule="exact"/>
        <w:ind w:firstLine="480" w:firstLineChars="200"/>
        <w:rPr>
          <w:rFonts w:ascii="Times New Roman" w:hAnsi="Times New Roman"/>
          <w:sz w:val="24"/>
          <w:szCs w:val="24"/>
        </w:rPr>
      </w:pPr>
      <w:r>
        <w:rPr>
          <w:rFonts w:hint="eastAsia"/>
          <w:sz w:val="24"/>
          <w:szCs w:val="24"/>
        </w:rPr>
        <w:t>实践教学内容体系应包括培养化学工程与工艺基本操作技能及获取专业基础知识的实验课程（基础化学实验、综合创新实验、专业实验、化工原理实验），</w:t>
      </w:r>
      <w:bookmarkStart w:id="1" w:name="OLE_LINK4"/>
      <w:bookmarkStart w:id="2" w:name="OLE_LINK3"/>
      <w:r>
        <w:rPr>
          <w:rFonts w:hint="eastAsia"/>
          <w:sz w:val="24"/>
          <w:szCs w:val="24"/>
        </w:rPr>
        <w:t>培养专业视野</w:t>
      </w:r>
      <w:bookmarkEnd w:id="1"/>
      <w:bookmarkEnd w:id="2"/>
      <w:r>
        <w:rPr>
          <w:rFonts w:hint="eastAsia"/>
          <w:sz w:val="24"/>
          <w:szCs w:val="24"/>
        </w:rPr>
        <w:t>和大工程观的校外工厂实习课程（工厂认识实习、工厂生产实习、工厂毕业实习），培养运用专业知识分析问题和解决问题能力的课程（综合创新实验、化工实习实训），培养运用计算机工具结合专业知识进行综合设计能力的课程（化工原理课程设计、专业课程设计），毕业设计（论文）等形式。</w:t>
      </w:r>
    </w:p>
    <w:p>
      <w:pPr>
        <w:spacing w:line="440" w:lineRule="exact"/>
        <w:ind w:firstLine="480" w:firstLineChars="200"/>
        <w:rPr>
          <w:rFonts w:ascii="Times New Roman" w:hAnsi="Times New Roman"/>
          <w:sz w:val="24"/>
          <w:szCs w:val="24"/>
        </w:rPr>
      </w:pPr>
      <w:r>
        <w:rPr>
          <w:rFonts w:hint="eastAsia" w:ascii="Times New Roman" w:hAnsi="Times New Roman"/>
          <w:sz w:val="24"/>
          <w:szCs w:val="24"/>
        </w:rPr>
        <w:t>毕业生应获得以下几方面关于化学工程与工艺专业工程实践能力：</w:t>
      </w:r>
    </w:p>
    <w:p>
      <w:pPr>
        <w:spacing w:line="440" w:lineRule="exact"/>
        <w:ind w:firstLine="480" w:firstLineChars="200"/>
        <w:rPr>
          <w:rFonts w:ascii="Times New Roman" w:hAnsi="Times New Roman"/>
          <w:sz w:val="24"/>
          <w:szCs w:val="24"/>
        </w:rPr>
      </w:pPr>
      <w:r>
        <w:rPr>
          <w:rFonts w:hint="eastAsia" w:ascii="Times New Roman" w:hAnsi="Times New Roman"/>
          <w:sz w:val="24"/>
          <w:szCs w:val="24"/>
        </w:rPr>
        <w:t>PA1</w:t>
      </w:r>
      <w:r>
        <w:rPr>
          <w:rFonts w:ascii="Times New Roman" w:hAnsi="Times New Roman"/>
          <w:sz w:val="24"/>
          <w:szCs w:val="24"/>
        </w:rPr>
        <w:t>)</w:t>
      </w:r>
      <w:r>
        <w:rPr>
          <w:rFonts w:hint="eastAsia" w:ascii="Times New Roman" w:hAnsi="Times New Roman"/>
          <w:sz w:val="24"/>
          <w:szCs w:val="24"/>
        </w:rPr>
        <w:t>掌握实验操作原理、仪器分析方法等基本技能，具备实验设计、实验方案筛选与确定、实验条件优化、实验结果整理与分析等专业研究必备的技能。</w:t>
      </w:r>
    </w:p>
    <w:p>
      <w:pPr>
        <w:spacing w:line="440" w:lineRule="exact"/>
        <w:ind w:firstLine="480" w:firstLineChars="200"/>
        <w:rPr>
          <w:rFonts w:ascii="Times New Roman" w:hAnsi="Times New Roman"/>
          <w:sz w:val="24"/>
          <w:szCs w:val="24"/>
        </w:rPr>
      </w:pPr>
      <w:r>
        <w:rPr>
          <w:rFonts w:hint="eastAsia" w:ascii="Times New Roman" w:hAnsi="Times New Roman"/>
          <w:sz w:val="24"/>
          <w:szCs w:val="24"/>
        </w:rPr>
        <w:t>PA2</w:t>
      </w:r>
      <w:r>
        <w:rPr>
          <w:rFonts w:ascii="Times New Roman" w:hAnsi="Times New Roman"/>
          <w:sz w:val="24"/>
          <w:szCs w:val="24"/>
        </w:rPr>
        <w:t>)</w:t>
      </w:r>
      <w:r>
        <w:rPr>
          <w:rFonts w:hint="eastAsia" w:ascii="Times New Roman" w:hAnsi="Times New Roman"/>
          <w:sz w:val="24"/>
          <w:szCs w:val="24"/>
        </w:rPr>
        <w:t>能够基于工程相关背景知识进行合理分析，评价化工专业工程实践和复杂工程问题解决方案对社会、健康、安全、法律以及文化的影响，并理解应承担的责任。</w:t>
      </w:r>
    </w:p>
    <w:p>
      <w:pPr>
        <w:spacing w:line="440" w:lineRule="exact"/>
        <w:ind w:firstLine="480" w:firstLineChars="200"/>
        <w:rPr>
          <w:rFonts w:ascii="Times New Roman" w:hAnsi="Times New Roman"/>
          <w:sz w:val="24"/>
          <w:szCs w:val="24"/>
        </w:rPr>
      </w:pPr>
      <w:r>
        <w:rPr>
          <w:rFonts w:hint="eastAsia" w:ascii="Times New Roman" w:hAnsi="Times New Roman"/>
          <w:sz w:val="24"/>
          <w:szCs w:val="24"/>
        </w:rPr>
        <w:t>PA3</w:t>
      </w:r>
      <w:r>
        <w:rPr>
          <w:rFonts w:ascii="Times New Roman" w:hAnsi="Times New Roman"/>
          <w:sz w:val="24"/>
          <w:szCs w:val="24"/>
        </w:rPr>
        <w:t>)</w:t>
      </w:r>
      <w:r>
        <w:rPr>
          <w:rFonts w:hint="eastAsia" w:ascii="Times New Roman" w:hAnsi="Times New Roman"/>
          <w:sz w:val="24"/>
          <w:szCs w:val="24"/>
        </w:rPr>
        <w:t>具有应用计算机等辅助工具，并结合专业知识设计针对复杂化工领域工程问题的解决方案，设计满足特定需求的化工系统、化工单元（部件）或化工工艺流程，并能够在设计环节中体现创新意识，考虑社会、文化以及环境等因素。</w:t>
      </w:r>
    </w:p>
    <w:p>
      <w:pPr>
        <w:spacing w:line="440" w:lineRule="exact"/>
        <w:ind w:firstLine="480" w:firstLineChars="200"/>
        <w:rPr>
          <w:rFonts w:ascii="Times New Roman" w:hAnsi="Times New Roman"/>
          <w:sz w:val="24"/>
          <w:szCs w:val="24"/>
        </w:rPr>
      </w:pPr>
      <w:r>
        <w:rPr>
          <w:rFonts w:hint="eastAsia" w:ascii="Times New Roman" w:hAnsi="Times New Roman"/>
          <w:sz w:val="24"/>
          <w:szCs w:val="24"/>
        </w:rPr>
        <w:t>PA4</w:t>
      </w:r>
      <w:r>
        <w:rPr>
          <w:rFonts w:ascii="Times New Roman" w:hAnsi="Times New Roman"/>
          <w:sz w:val="24"/>
          <w:szCs w:val="24"/>
        </w:rPr>
        <w:t>)</w:t>
      </w:r>
      <w:r>
        <w:rPr>
          <w:rFonts w:hint="eastAsia" w:ascii="Times New Roman" w:hAnsi="Times New Roman"/>
          <w:sz w:val="24"/>
          <w:szCs w:val="24"/>
        </w:rPr>
        <w:t>具备从应用目标出发对化工产品进行新产品研制、开发并对其性能、成本、环境及经济效益进行综合评估的初步能力。</w:t>
      </w:r>
    </w:p>
    <w:p>
      <w:pPr>
        <w:spacing w:beforeLines="50" w:afterLines="50" w:line="440" w:lineRule="exact"/>
        <w:rPr>
          <w:rFonts w:hint="eastAsia" w:ascii="黑体" w:hAnsi="黑体" w:eastAsia="黑体" w:cs="黑体"/>
          <w:b w:val="0"/>
          <w:bCs w:val="0"/>
          <w:sz w:val="24"/>
          <w:szCs w:val="24"/>
        </w:rPr>
      </w:pPr>
    </w:p>
    <w:p>
      <w:pPr>
        <w:spacing w:beforeLines="50" w:afterLines="50"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二、培养人才的适应范围与专业特色</w:t>
      </w:r>
    </w:p>
    <w:p>
      <w:pPr>
        <w:spacing w:line="44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培养人才的适应范围：</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1、化工、环保、材料、能源、轻工、医药、冶金等工业部门及科研与设计院所，主要从事生产技术管理、科学研究、产品研制与开发、工程设计、品质控制、产品营销等方面的工作；</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2、在高等院校从事化学工程与工艺专业及相近专业的教学、科研、管理等工作。</w:t>
      </w:r>
    </w:p>
    <w:p>
      <w:pPr>
        <w:spacing w:line="440" w:lineRule="exact"/>
        <w:ind w:firstLine="480" w:firstLineChars="200"/>
        <w:rPr>
          <w:rFonts w:ascii="Times New Roman" w:hAnsi="Times New Roman"/>
          <w:sz w:val="24"/>
          <w:szCs w:val="24"/>
        </w:rPr>
      </w:pPr>
      <w:r>
        <w:rPr>
          <w:rFonts w:hint="eastAsia" w:ascii="黑体" w:hAnsi="黑体" w:eastAsia="黑体" w:cs="黑体"/>
          <w:sz w:val="24"/>
          <w:szCs w:val="24"/>
        </w:rPr>
        <w:t>人才培养的专业特色：</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秉承合肥工业大学“工程基础厚、工作作风实、创业能力强”的人才培养特色，围绕现代化学工业对化学工程与工艺专业技术人才的要求，按照“厚基础、宽口径、重实践、有特色”的人才培养模式，建立并完善“四年不断线、循序渐进的三层次”实践教学体系，突出工程实践能力培养；开展各类科技创新实践活动，强化创新能力和创业意识培养；服务地方区域经济，产学研紧密结合培养工程技术人才。</w:t>
      </w:r>
    </w:p>
    <w:p>
      <w:pPr>
        <w:spacing w:beforeLines="50" w:afterLines="50" w:line="440" w:lineRule="exact"/>
        <w:rPr>
          <w:rFonts w:hint="eastAsia" w:ascii="黑体" w:hAnsi="黑体" w:eastAsia="黑体" w:cs="黑体"/>
          <w:b/>
          <w:bCs/>
          <w:sz w:val="24"/>
          <w:szCs w:val="24"/>
        </w:rPr>
      </w:pPr>
    </w:p>
    <w:p>
      <w:pPr>
        <w:spacing w:beforeLines="50" w:afterLines="50"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三、专业培养标准</w:t>
      </w:r>
    </w:p>
    <w:p>
      <w:pPr>
        <w:spacing w:line="440" w:lineRule="exact"/>
        <w:ind w:firstLine="480" w:firstLineChars="200"/>
        <w:rPr>
          <w:rFonts w:ascii="Times New Roman" w:hAnsi="Times New Roman"/>
          <w:sz w:val="24"/>
          <w:szCs w:val="24"/>
        </w:rPr>
      </w:pPr>
      <w:r>
        <w:rPr>
          <w:rFonts w:ascii="Times New Roman" w:hAnsi="Times New Roman"/>
          <w:sz w:val="24"/>
          <w:szCs w:val="24"/>
        </w:rPr>
        <w:t>本专业标准学制为4年，学生可在3~6年内完成学业，合格毕业生授予工学学士学位，具备以下的知识、能力和素质：</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1、知识结构</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1.1 人文科学和社会科学知识：哲学、思想道德、政治学、法学、文学、历史、社会学、艺术、心理学等方面的基本知识。</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1.2 自然科学与工程技术的基础知识和前沿知识：数学、物理学、化学等方面的知识，工程图学、化工设计、电工与电子、化工设备机械基础、化工仪表及自动化、化工安全与环保等方面的知识。</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1.3 经济与管理的基础知识：经济学、管理学等方面的知识。</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1.4专业知识：化工原理、化工热力学、化学反应工程、化工工艺学、化工传递过程、化工分离工程、化工过程分析与合成、无机化工工艺、精细化工工艺、煤化工工艺学等相关基本理论、基本方法和基本实验技能。</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1.5 为专业服务的其它知识：外语、计算机及信息技术应用、文献检索等方面的知识。</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2、能力结构</w:t>
      </w:r>
    </w:p>
    <w:p>
      <w:pPr>
        <w:spacing w:line="440" w:lineRule="exact"/>
        <w:ind w:firstLine="480" w:firstLineChars="200"/>
        <w:rPr>
          <w:rFonts w:ascii="Times New Roman" w:hAnsi="Times New Roman"/>
          <w:sz w:val="24"/>
          <w:szCs w:val="24"/>
        </w:rPr>
      </w:pPr>
      <w:r>
        <w:rPr>
          <w:rFonts w:ascii="Times New Roman" w:hAnsi="Times New Roman"/>
          <w:sz w:val="24"/>
          <w:szCs w:val="24"/>
        </w:rPr>
        <w:t>2.1 具有运用数学、自然科学、工程基础和化工专业知识解决复杂的化工领域工程问题的能力。</w:t>
      </w:r>
    </w:p>
    <w:p>
      <w:pPr>
        <w:spacing w:line="440" w:lineRule="exact"/>
        <w:ind w:firstLine="480" w:firstLineChars="200"/>
        <w:rPr>
          <w:rFonts w:ascii="Times New Roman" w:hAnsi="Times New Roman"/>
          <w:sz w:val="24"/>
          <w:szCs w:val="24"/>
        </w:rPr>
      </w:pPr>
      <w:r>
        <w:rPr>
          <w:rFonts w:ascii="Times New Roman" w:hAnsi="Times New Roman"/>
          <w:sz w:val="24"/>
          <w:szCs w:val="24"/>
        </w:rPr>
        <w:t>2.2 具有应用数学、自然科学和工程科学的基本原理，识别、表达、并通过文献研究分析复杂的化工领域工程问题，并获得有效结论的能力。</w:t>
      </w:r>
    </w:p>
    <w:p>
      <w:pPr>
        <w:spacing w:line="440" w:lineRule="exact"/>
        <w:ind w:firstLine="480" w:firstLineChars="200"/>
        <w:rPr>
          <w:rFonts w:ascii="Times New Roman" w:hAnsi="Times New Roman"/>
          <w:sz w:val="24"/>
          <w:szCs w:val="24"/>
        </w:rPr>
      </w:pPr>
      <w:r>
        <w:rPr>
          <w:rFonts w:ascii="Times New Roman" w:hAnsi="Times New Roman"/>
          <w:sz w:val="24"/>
          <w:szCs w:val="24"/>
        </w:rPr>
        <w:t>2.3 能够设计针对复杂化工领域工程问题的解决方案，设计满足特定需求的化工系统、化工单元（部件）或化工工艺流程，并能够在设计环节中体现创新意识，考虑社会、健康、安全、法律、文化以及环境等因素。</w:t>
      </w:r>
    </w:p>
    <w:p>
      <w:pPr>
        <w:spacing w:line="440" w:lineRule="exact"/>
        <w:ind w:firstLine="480" w:firstLineChars="200"/>
        <w:rPr>
          <w:rFonts w:ascii="Times New Roman" w:hAnsi="Times New Roman"/>
          <w:sz w:val="24"/>
          <w:szCs w:val="24"/>
        </w:rPr>
      </w:pPr>
      <w:r>
        <w:rPr>
          <w:rFonts w:ascii="Times New Roman" w:hAnsi="Times New Roman"/>
          <w:sz w:val="24"/>
          <w:szCs w:val="24"/>
        </w:rPr>
        <w:t>2.4 能够基于科学原理并采用科学方法对复杂化工领域工程问题进行研究，包括设计实验、分析与解释数据、并通过信息综合得到合理有效的结论。</w:t>
      </w:r>
    </w:p>
    <w:p>
      <w:pPr>
        <w:spacing w:line="440" w:lineRule="exact"/>
        <w:ind w:firstLine="480" w:firstLineChars="200"/>
        <w:rPr>
          <w:rFonts w:ascii="Times New Roman" w:hAnsi="Times New Roman"/>
          <w:sz w:val="24"/>
          <w:szCs w:val="24"/>
        </w:rPr>
      </w:pPr>
      <w:r>
        <w:rPr>
          <w:rFonts w:ascii="Times New Roman" w:hAnsi="Times New Roman"/>
          <w:sz w:val="24"/>
          <w:szCs w:val="24"/>
        </w:rPr>
        <w:t>2.5 能够针对复杂化工领域工程问题，开发、选择与使用恰当的技术、资源、现代工程工具和信息技术工具，包括对复杂工程问题的预测与模拟，并能够理解其局限性。</w:t>
      </w:r>
    </w:p>
    <w:p>
      <w:pPr>
        <w:spacing w:line="440" w:lineRule="exact"/>
        <w:ind w:firstLine="480" w:firstLineChars="200"/>
        <w:rPr>
          <w:rFonts w:ascii="Times New Roman" w:hAnsi="Times New Roman"/>
          <w:sz w:val="24"/>
          <w:szCs w:val="24"/>
        </w:rPr>
      </w:pPr>
      <w:r>
        <w:rPr>
          <w:rFonts w:ascii="Times New Roman" w:hAnsi="Times New Roman"/>
          <w:sz w:val="24"/>
          <w:szCs w:val="24"/>
        </w:rPr>
        <w:t>2.6 能够基于工程相关背景知识进行合理分析，评价化工专业工程实践和复杂工程问题解决方案对社会、健康、安全、法律以及文化的影响，并理解应承担的责任。</w:t>
      </w:r>
    </w:p>
    <w:p>
      <w:pPr>
        <w:spacing w:line="440" w:lineRule="exact"/>
        <w:ind w:firstLine="480" w:firstLineChars="200"/>
        <w:rPr>
          <w:rFonts w:ascii="Times New Roman" w:hAnsi="Times New Roman"/>
          <w:sz w:val="24"/>
          <w:szCs w:val="24"/>
        </w:rPr>
      </w:pPr>
      <w:r>
        <w:rPr>
          <w:rFonts w:ascii="Times New Roman" w:hAnsi="Times New Roman"/>
          <w:sz w:val="24"/>
          <w:szCs w:val="24"/>
        </w:rPr>
        <w:t>2.7 能够理解和评价针对复杂化工领域工程问题的专业工程实践对环境、社会可持续发展的影响。</w:t>
      </w:r>
    </w:p>
    <w:p>
      <w:pPr>
        <w:spacing w:line="440" w:lineRule="exact"/>
        <w:ind w:firstLine="480" w:firstLineChars="200"/>
        <w:rPr>
          <w:rFonts w:ascii="Times New Roman" w:hAnsi="Times New Roman"/>
          <w:sz w:val="24"/>
          <w:szCs w:val="24"/>
        </w:rPr>
      </w:pPr>
      <w:r>
        <w:rPr>
          <w:rFonts w:ascii="Times New Roman" w:hAnsi="Times New Roman"/>
          <w:sz w:val="24"/>
          <w:szCs w:val="24"/>
        </w:rPr>
        <w:t>2.8 具有人文社会科学素养、社会责任感，能够在化工领域工程实践中理解并遵守工程职业道德和规范，履行责任。</w:t>
      </w:r>
    </w:p>
    <w:p>
      <w:pPr>
        <w:spacing w:line="440" w:lineRule="exact"/>
        <w:ind w:firstLine="480" w:firstLineChars="200"/>
        <w:rPr>
          <w:rFonts w:ascii="Times New Roman" w:hAnsi="Times New Roman"/>
          <w:sz w:val="24"/>
          <w:szCs w:val="24"/>
        </w:rPr>
      </w:pPr>
      <w:r>
        <w:rPr>
          <w:rFonts w:ascii="Times New Roman" w:hAnsi="Times New Roman"/>
          <w:sz w:val="24"/>
          <w:szCs w:val="24"/>
        </w:rPr>
        <w:t>2.9 能够在多学科背景下的团队中承担个体、团队成员以及负责人的角色。</w:t>
      </w:r>
    </w:p>
    <w:p>
      <w:pPr>
        <w:spacing w:line="440" w:lineRule="exact"/>
        <w:ind w:firstLine="480" w:firstLineChars="200"/>
        <w:rPr>
          <w:rFonts w:ascii="Times New Roman" w:hAnsi="Times New Roman"/>
          <w:sz w:val="24"/>
          <w:szCs w:val="24"/>
        </w:rPr>
      </w:pPr>
      <w:r>
        <w:rPr>
          <w:rFonts w:ascii="Times New Roman" w:hAnsi="Times New Roman"/>
          <w:sz w:val="24"/>
          <w:szCs w:val="24"/>
        </w:rPr>
        <w:t>2.10 能够就复杂化工领域工程问题与业界同行及社会公众进行有效沟通和交流，包括撰写报告和设计文稿、陈述发言、清晰表达或回应指令。并具备一定的国际视野，能够在跨文化背景下进行沟通和交流。</w:t>
      </w:r>
    </w:p>
    <w:p>
      <w:pPr>
        <w:spacing w:line="440" w:lineRule="exact"/>
        <w:ind w:firstLine="480" w:firstLineChars="200"/>
        <w:rPr>
          <w:rFonts w:ascii="Times New Roman" w:hAnsi="Times New Roman"/>
          <w:sz w:val="24"/>
          <w:szCs w:val="24"/>
        </w:rPr>
      </w:pPr>
      <w:r>
        <w:rPr>
          <w:rFonts w:ascii="Times New Roman" w:hAnsi="Times New Roman"/>
          <w:sz w:val="24"/>
          <w:szCs w:val="24"/>
        </w:rPr>
        <w:t>2.11 理解并掌握化工工程管理原理与经济决策方法，并能在多学科环境中应用。</w:t>
      </w:r>
    </w:p>
    <w:p>
      <w:pPr>
        <w:spacing w:line="440" w:lineRule="exact"/>
        <w:ind w:firstLine="480" w:firstLineChars="200"/>
        <w:rPr>
          <w:rFonts w:ascii="Times New Roman" w:hAnsi="Times New Roman"/>
          <w:sz w:val="24"/>
          <w:szCs w:val="24"/>
        </w:rPr>
      </w:pPr>
      <w:r>
        <w:rPr>
          <w:rFonts w:ascii="Times New Roman" w:hAnsi="Times New Roman"/>
          <w:sz w:val="24"/>
          <w:szCs w:val="24"/>
        </w:rPr>
        <w:t>2.12 具有自主学习和终身学习的意识，有不断学习和适应发展的能力。</w:t>
      </w:r>
    </w:p>
    <w:p>
      <w:pPr>
        <w:spacing w:line="440" w:lineRule="exact"/>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3、素质结构</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3.1 身心健康，视野开阔</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3.2 热爱祖国，品德高尚</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3.3 志存高远，意志坚强</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3.4 刻苦务实，精勤进取</w:t>
      </w:r>
    </w:p>
    <w:p>
      <w:pPr>
        <w:spacing w:line="440" w:lineRule="exact"/>
        <w:ind w:firstLine="480" w:firstLineChars="200"/>
        <w:rPr>
          <w:rFonts w:ascii="Times New Roman" w:hAnsi="Times New Roman"/>
          <w:kern w:val="0"/>
          <w:sz w:val="24"/>
          <w:szCs w:val="24"/>
        </w:rPr>
      </w:pPr>
      <w:r>
        <w:rPr>
          <w:rFonts w:ascii="Times New Roman" w:hAnsi="Times New Roman"/>
          <w:kern w:val="0"/>
          <w:sz w:val="24"/>
          <w:szCs w:val="24"/>
        </w:rPr>
        <w:t>3.5 思维敏捷，乐于创新</w:t>
      </w:r>
    </w:p>
    <w:p>
      <w:pPr>
        <w:spacing w:beforeLines="50" w:afterLines="50" w:line="440" w:lineRule="exact"/>
        <w:rPr>
          <w:rFonts w:ascii="Times New Roman" w:hAnsi="Times New Roman"/>
          <w:b/>
          <w:bCs/>
          <w:sz w:val="24"/>
          <w:szCs w:val="24"/>
        </w:rPr>
      </w:pPr>
    </w:p>
    <w:p>
      <w:pPr>
        <w:spacing w:beforeLines="50" w:afterLines="50" w:line="4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四、主干学科和相关课程 </w:t>
      </w:r>
    </w:p>
    <w:p>
      <w:pPr>
        <w:spacing w:line="440" w:lineRule="exact"/>
        <w:ind w:firstLine="480" w:firstLineChars="200"/>
        <w:rPr>
          <w:rFonts w:ascii="Times New Roman" w:hAnsi="Times New Roman"/>
          <w:sz w:val="24"/>
          <w:szCs w:val="24"/>
        </w:rPr>
      </w:pPr>
      <w:r>
        <w:rPr>
          <w:rFonts w:hint="eastAsia" w:ascii="黑体" w:hAnsi="黑体" w:eastAsia="黑体" w:cs="黑体"/>
          <w:b w:val="0"/>
          <w:bCs w:val="0"/>
          <w:sz w:val="24"/>
          <w:szCs w:val="24"/>
        </w:rPr>
        <w:t>主干学科：</w:t>
      </w:r>
      <w:r>
        <w:rPr>
          <w:rFonts w:ascii="Times New Roman" w:hAnsi="Times New Roman"/>
          <w:sz w:val="24"/>
          <w:szCs w:val="24"/>
        </w:rPr>
        <w:t>化学工程与工艺、化学</w:t>
      </w:r>
    </w:p>
    <w:p>
      <w:pPr>
        <w:spacing w:line="440" w:lineRule="exact"/>
        <w:ind w:firstLine="480" w:firstLineChars="200"/>
        <w:rPr>
          <w:rFonts w:ascii="Times New Roman" w:hAnsi="Times New Roman"/>
          <w:sz w:val="24"/>
          <w:szCs w:val="24"/>
        </w:rPr>
      </w:pPr>
      <w:r>
        <w:rPr>
          <w:rFonts w:hint="eastAsia" w:ascii="黑体" w:hAnsi="黑体" w:eastAsia="黑体" w:cs="黑体"/>
          <w:b w:val="0"/>
          <w:bCs w:val="0"/>
          <w:sz w:val="24"/>
          <w:szCs w:val="24"/>
        </w:rPr>
        <w:t>主要课程：</w:t>
      </w:r>
      <w:r>
        <w:rPr>
          <w:rFonts w:ascii="Times New Roman" w:hAnsi="Times New Roman"/>
          <w:sz w:val="24"/>
          <w:szCs w:val="24"/>
        </w:rPr>
        <w:t>无机化学、有机化学、分析化学、物理化学、化工原理、化工热力学、化学反应工程、化学工艺学、化工设计、化工设备机械基础、化工仪表与自动化、化工安全与环保技术、化工过程分析与合成等</w:t>
      </w:r>
    </w:p>
    <w:p>
      <w:pPr>
        <w:spacing w:line="440" w:lineRule="exact"/>
        <w:ind w:firstLine="480" w:firstLineChars="200"/>
        <w:rPr>
          <w:rFonts w:ascii="Times New Roman" w:hAnsi="Times New Roman"/>
          <w:sz w:val="24"/>
          <w:szCs w:val="24"/>
        </w:rPr>
      </w:pPr>
      <w:r>
        <w:rPr>
          <w:rFonts w:hint="eastAsia" w:ascii="黑体" w:hAnsi="黑体" w:eastAsia="黑体" w:cs="黑体"/>
          <w:b w:val="0"/>
          <w:bCs w:val="0"/>
          <w:sz w:val="24"/>
          <w:szCs w:val="24"/>
        </w:rPr>
        <w:t>特色课程：</w:t>
      </w:r>
      <w:r>
        <w:rPr>
          <w:rFonts w:ascii="Times New Roman" w:hAnsi="Times New Roman"/>
          <w:sz w:val="24"/>
          <w:szCs w:val="24"/>
        </w:rPr>
        <w:t>化工实习实训A、化工原理、化学反应工程</w:t>
      </w:r>
    </w:p>
    <w:p>
      <w:pPr>
        <w:spacing w:line="440" w:lineRule="exact"/>
        <w:ind w:firstLine="480" w:firstLineChars="200"/>
        <w:rPr>
          <w:rFonts w:ascii="Times New Roman" w:hAnsi="Times New Roman"/>
          <w:sz w:val="24"/>
          <w:szCs w:val="24"/>
        </w:rPr>
      </w:pPr>
      <w:r>
        <w:rPr>
          <w:rFonts w:hint="eastAsia" w:ascii="黑体" w:hAnsi="黑体" w:eastAsia="黑体" w:cs="黑体"/>
          <w:b w:val="0"/>
          <w:bCs w:val="0"/>
          <w:sz w:val="24"/>
          <w:szCs w:val="24"/>
        </w:rPr>
        <w:t>辅修专业课程模块：</w:t>
      </w:r>
      <w:r>
        <w:rPr>
          <w:rFonts w:ascii="Times New Roman" w:hAnsi="Times New Roman"/>
          <w:sz w:val="24"/>
          <w:szCs w:val="24"/>
        </w:rPr>
        <w:t>共32学分</w:t>
      </w:r>
    </w:p>
    <w:p>
      <w:pPr>
        <w:spacing w:line="440" w:lineRule="exact"/>
        <w:ind w:firstLine="480" w:firstLineChars="200"/>
        <w:rPr>
          <w:rFonts w:ascii="Times New Roman" w:hAnsi="Times New Roman"/>
          <w:sz w:val="24"/>
          <w:szCs w:val="24"/>
        </w:rPr>
      </w:pPr>
      <w:r>
        <w:rPr>
          <w:rFonts w:ascii="Times New Roman" w:hAnsi="Times New Roman"/>
          <w:sz w:val="24"/>
          <w:szCs w:val="24"/>
        </w:rPr>
        <w:t>无机化学（64学时4学分）、分析化学（32学时2学分）、有机化学（80学时5学分）、物理化学（80学时5学分）、化工原理（96学时6学分）、化工热力学（56学时3.5学分）、化学反应工程（56学时3.5学分）、化工设备机械基础（48学时3学分）</w:t>
      </w:r>
    </w:p>
    <w:p>
      <w:pPr>
        <w:spacing w:line="440" w:lineRule="exact"/>
        <w:ind w:firstLine="480" w:firstLineChars="200"/>
        <w:rPr>
          <w:rFonts w:ascii="Times New Roman" w:hAnsi="Times New Roman"/>
          <w:sz w:val="24"/>
          <w:szCs w:val="24"/>
        </w:rPr>
      </w:pPr>
      <w:r>
        <w:rPr>
          <w:rFonts w:hint="eastAsia" w:ascii="黑体" w:hAnsi="黑体" w:eastAsia="黑体" w:cs="黑体"/>
          <w:b w:val="0"/>
          <w:bCs w:val="0"/>
          <w:sz w:val="24"/>
          <w:szCs w:val="24"/>
        </w:rPr>
        <w:t>选修专业课程模块：</w:t>
      </w:r>
      <w:r>
        <w:rPr>
          <w:rFonts w:ascii="Times New Roman" w:hAnsi="Times New Roman"/>
          <w:sz w:val="24"/>
          <w:szCs w:val="24"/>
        </w:rPr>
        <w:t>共15.5学分。</w:t>
      </w:r>
    </w:p>
    <w:p>
      <w:pPr>
        <w:spacing w:line="440" w:lineRule="exact"/>
        <w:ind w:firstLine="480" w:firstLineChars="200"/>
        <w:rPr>
          <w:rFonts w:ascii="Times New Roman" w:hAnsi="Times New Roman"/>
          <w:sz w:val="24"/>
          <w:szCs w:val="24"/>
        </w:rPr>
      </w:pPr>
      <w:r>
        <w:rPr>
          <w:rFonts w:ascii="Times New Roman" w:hAnsi="Times New Roman"/>
          <w:sz w:val="24"/>
          <w:szCs w:val="24"/>
        </w:rPr>
        <w:t>化工原理（96学时6学分）、化工热力学（56学时3.5学分）、化学反应工程（56学时3.5学分）、化学工艺学（40学时2.5学分）</w:t>
      </w:r>
    </w:p>
    <w:p>
      <w:pPr>
        <w:widowControl/>
        <w:spacing w:beforeLines="50" w:afterLines="50" w:line="440" w:lineRule="exact"/>
        <w:jc w:val="left"/>
        <w:rPr>
          <w:rFonts w:hint="eastAsia" w:ascii="黑体" w:hAnsi="黑体" w:eastAsia="黑体" w:cs="黑体"/>
          <w:sz w:val="24"/>
          <w:szCs w:val="24"/>
        </w:rPr>
      </w:pPr>
    </w:p>
    <w:p>
      <w:pPr>
        <w:widowControl/>
        <w:spacing w:beforeLines="50" w:afterLines="50" w:line="440" w:lineRule="exact"/>
        <w:jc w:val="left"/>
        <w:rPr>
          <w:rFonts w:ascii="Times New Roman" w:hAnsi="Times New Roman"/>
          <w:sz w:val="24"/>
        </w:rPr>
      </w:pPr>
      <w:r>
        <w:rPr>
          <w:rFonts w:hint="eastAsia" w:ascii="黑体" w:hAnsi="黑体" w:eastAsia="黑体" w:cs="黑体"/>
          <w:b/>
          <w:bCs/>
          <w:sz w:val="24"/>
          <w:szCs w:val="24"/>
        </w:rPr>
        <w:pict>
          <v:line id="直接连接符 2" o:spid="_x0000_s1029" o:spt="20" style="position:absolute;left:0pt;margin-left:-19.05pt;margin-top:28.4pt;height:53.1pt;width:104.15pt;z-index:251658240;mso-width-relative:page;mso-height-relative:page;" filled="f" stroked="t" coordsize="21600,21600" o:gfxdata="UEsDBAoAAAAAAIdO4kAAAAAAAAAAAAAAAAAEAAAAZHJzL1BLAwQUAAAACACHTuJAnDaDBtgAAAAK&#10;AQAADwAAAGRycy9kb3ducmV2LnhtbE2PTU/DMAyG70j8h8hIXKYtaTdoVeruAPTGhQHi6jWmrWiS&#10;rsk+4NeTncbR9qPXz1uuT2YQB5587yxCslAg2DZO97ZFeH+r5zkIH8hqGpxlhB/2sK6ur0oqtDva&#10;Vz5sQitiiPUFIXQhjIWUvunYkF+4kW28fbnJUIjj1Eo90TGGm0GmSt1LQ72NHzoa+bHj5nuzNwi+&#10;/uBd/TtrZupz2TpOd08vz4R4e5OoBxCBT+ECw1k/qkMVnbZub7UXA8I8UXcRRchWGYgzkOVxsUVI&#10;l/kKZFXK/xWqP1BLAwQUAAAACACHTuJA5lMQx84BAABdAwAADgAAAGRycy9lMm9Eb2MueG1srVNL&#10;jhMxEN0jcQfLe9KfmQyTVjqzmGjYIIgEHKDidndb8k8uk04uwQWQ2MGKJXtuw3AMyk6YD+wQvagu&#10;u16/qnpVvbzaG812MqBytuXVrORMWuE6ZYeWv3t78+ySM4xgO9DOypYfJPKr1dMny8k3snaj050M&#10;jEgsNpNv+Rijb4oCxSgN4Mx5aSnYu2Ag0jEMRRdgInaji7osL4rJhc4HJyQi3a6PQb7K/H0vRXzd&#10;9ygj0y2n2mK2IdttssVqCc0QwI9KnMqAf6jCgLKU9I5qDRHY+6D+ojJKBIeujzPhTOH6XgmZe6Bu&#10;qvKPbt6M4GXuhcRBfycT/j9a8Wq3CUx1La85s2BoRLcfv/348Pnn909kb79+YXUSafLYEPbabsLp&#10;hH4TUsf7Ppj0pl7YvuWL8+p5OefsQNtwdnlRk581lvvIBMUrmlo1p1GIhCjPFueLjCjumXzA+EI6&#10;w5LTcq1sEgEa2L3ESGQE/Q1J19bdKK1zEm3ZRCXMaypAAK1TryGSazw1iHbgDPRAeypiyIzotOrS&#10;14kHw7C91oHtIO1KflLplO0RLKVeA45HXA6dYNoSOgl1lCZ5W9cdsmL5nmaY+U77lpbk4Tl/ff9X&#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DaDBtgAAAAKAQAADwAAAAAAAAABACAAAAAiAAAA&#10;ZHJzL2Rvd25yZXYueG1sUEsBAhQAFAAAAAgAh07iQOZTEMfOAQAAXQMAAA4AAAAAAAAAAQAgAAAA&#10;JwEAAGRycy9lMm9Eb2MueG1sUEsFBgAAAAAGAAYAWQEAAGcFAAAAAA==&#10;">
            <v:path arrowok="t"/>
            <v:fill on="f" focussize="0,0"/>
            <v:stroke color="#000000"/>
            <v:imagedata o:title=""/>
            <o:lock v:ext="edit" aspectratio="f"/>
          </v:line>
        </w:pict>
      </w:r>
      <w:r>
        <w:rPr>
          <w:rFonts w:hint="eastAsia" w:ascii="黑体" w:hAnsi="黑体" w:eastAsia="黑体" w:cs="黑体"/>
          <w:sz w:val="24"/>
          <w:szCs w:val="24"/>
        </w:rPr>
        <w:t xml:space="preserve"> </w:t>
      </w:r>
      <w:r>
        <w:rPr>
          <w:rFonts w:hint="eastAsia" w:ascii="黑体" w:hAnsi="黑体" w:eastAsia="黑体" w:cs="黑体"/>
          <w:b/>
          <w:bCs/>
          <w:sz w:val="24"/>
          <w:szCs w:val="24"/>
        </w:rPr>
        <w:t>五、课程地图</w:t>
      </w:r>
    </w:p>
    <w:tbl>
      <w:tblPr>
        <w:tblStyle w:val="49"/>
        <w:tblW w:w="9553" w:type="dxa"/>
        <w:jc w:val="center"/>
        <w:tblInd w:w="-32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10"/>
        <w:gridCol w:w="588"/>
        <w:gridCol w:w="588"/>
        <w:gridCol w:w="589"/>
        <w:gridCol w:w="588"/>
        <w:gridCol w:w="589"/>
        <w:gridCol w:w="588"/>
        <w:gridCol w:w="588"/>
        <w:gridCol w:w="589"/>
        <w:gridCol w:w="588"/>
        <w:gridCol w:w="694"/>
        <w:gridCol w:w="672"/>
        <w:gridCol w:w="6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57" w:hRule="atLeast"/>
          <w:jc w:val="center"/>
        </w:trPr>
        <w:tc>
          <w:tcPr>
            <w:tcW w:w="2210" w:type="dxa"/>
            <w:tcBorders>
              <w:tl2br w:val="nil"/>
              <w:tr2bl w:val="nil"/>
            </w:tcBorders>
            <w:vAlign w:val="center"/>
          </w:tcPr>
          <w:p>
            <w:pPr>
              <w:spacing w:line="320" w:lineRule="exact"/>
              <w:jc w:val="center"/>
              <w:rPr>
                <w:rFonts w:ascii="Times New Roman" w:hAnsi="Times New Roman" w:eastAsia="楷体"/>
                <w:b/>
                <w:bCs/>
                <w:szCs w:val="21"/>
              </w:rPr>
            </w:pPr>
            <w:r>
              <w:rPr>
                <w:rFonts w:ascii="Times New Roman" w:hAnsi="Times New Roman" w:eastAsia="楷体"/>
                <w:b/>
                <w:bCs/>
                <w:szCs w:val="21"/>
              </w:rPr>
              <w:t xml:space="preserve">   培养目标</w:t>
            </w:r>
          </w:p>
          <w:p>
            <w:pPr>
              <w:spacing w:line="320" w:lineRule="exact"/>
              <w:rPr>
                <w:rFonts w:ascii="Times New Roman" w:hAnsi="Times New Roman" w:eastAsia="楷体"/>
                <w:b/>
                <w:bCs/>
                <w:szCs w:val="21"/>
              </w:rPr>
            </w:pPr>
          </w:p>
          <w:p>
            <w:pPr>
              <w:spacing w:line="320" w:lineRule="exact"/>
              <w:rPr>
                <w:rFonts w:ascii="Times New Roman" w:hAnsi="Times New Roman" w:eastAsia="楷体"/>
                <w:b/>
                <w:bCs/>
                <w:szCs w:val="21"/>
              </w:rPr>
            </w:pPr>
            <w:r>
              <w:rPr>
                <w:rFonts w:ascii="Times New Roman" w:hAnsi="Times New Roman" w:eastAsia="楷体"/>
                <w:b/>
                <w:bCs/>
                <w:szCs w:val="21"/>
              </w:rPr>
              <w:t>课程</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LO1</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2</w:t>
            </w:r>
          </w:p>
        </w:tc>
        <w:tc>
          <w:tcPr>
            <w:tcW w:w="589"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3</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4</w:t>
            </w:r>
          </w:p>
        </w:tc>
        <w:tc>
          <w:tcPr>
            <w:tcW w:w="589"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5</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6</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7</w:t>
            </w:r>
          </w:p>
        </w:tc>
        <w:tc>
          <w:tcPr>
            <w:tcW w:w="589"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8</w:t>
            </w:r>
          </w:p>
        </w:tc>
        <w:tc>
          <w:tcPr>
            <w:tcW w:w="588"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9</w:t>
            </w:r>
          </w:p>
        </w:tc>
        <w:tc>
          <w:tcPr>
            <w:tcW w:w="694"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w:t>
            </w:r>
            <w:r>
              <w:rPr>
                <w:rFonts w:hint="eastAsia" w:ascii="Times New Roman" w:hAnsi="Times New Roman"/>
                <w:sz w:val="18"/>
                <w:szCs w:val="18"/>
              </w:rPr>
              <w:t>10</w:t>
            </w:r>
          </w:p>
        </w:tc>
        <w:tc>
          <w:tcPr>
            <w:tcW w:w="672"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LO11</w:t>
            </w:r>
          </w:p>
        </w:tc>
        <w:tc>
          <w:tcPr>
            <w:tcW w:w="682" w:type="dxa"/>
            <w:tcBorders>
              <w:tl2br w:val="nil"/>
              <w:tr2bl w:val="nil"/>
            </w:tcBorders>
            <w:vAlign w:val="center"/>
          </w:tcPr>
          <w:p>
            <w:pPr>
              <w:spacing w:line="320" w:lineRule="exact"/>
              <w:jc w:val="center"/>
              <w:rPr>
                <w:rFonts w:ascii="Times New Roman" w:hAnsi="Times New Roman" w:eastAsia="楷体"/>
                <w:b/>
                <w:bCs/>
                <w:sz w:val="18"/>
                <w:szCs w:val="18"/>
              </w:rPr>
            </w:pPr>
            <w:r>
              <w:rPr>
                <w:rFonts w:ascii="Times New Roman" w:hAnsi="Times New Roman"/>
                <w:sz w:val="18"/>
                <w:szCs w:val="18"/>
              </w:rPr>
              <w:t>LO1</w:t>
            </w:r>
            <w:r>
              <w:rPr>
                <w:rFonts w:hint="eastAsia" w:ascii="Times New Roman" w:hAnsi="Times New Roman"/>
                <w:sz w:val="18"/>
                <w:szCs w:val="18"/>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形势与政策</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英语</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大学体育</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毛泽东思想与中国特色社会主义理论体系概论</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马克思主义基本原理概论</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中国近现代史纲要</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思想道德修养与法律基础</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b/>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军事理论</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大学生心理健康</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高等数学A</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线性代数</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大学物理C</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MATLAB程序设计</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工程图学C</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电工与电子技术B</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化学工程与工艺专业导论</w:t>
            </w: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概率论与数理统计</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无机化学B</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分析化学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有机化学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物理化学A</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化工原理A</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化工热力学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化工安全环保技术</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化工设备机械基础</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化工设计</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化学反应工程</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化工仪表及自动化</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化学工艺学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化工传递过程</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化工分离工程</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p>
        </w:tc>
        <w:tc>
          <w:tcPr>
            <w:tcW w:w="589" w:type="dxa"/>
            <w:tcBorders>
              <w:tl2br w:val="nil"/>
              <w:tr2bl w:val="nil"/>
            </w:tcBorders>
            <w:vAlign w:val="center"/>
          </w:tcPr>
          <w:p>
            <w:pPr>
              <w:widowControl/>
              <w:spacing w:line="320" w:lineRule="exact"/>
              <w:jc w:val="left"/>
              <w:rPr>
                <w:rFonts w:ascii="Times New Roman" w:hAnsi="Times New Roman" w:eastAsia="楷体"/>
                <w:szCs w:val="21"/>
              </w:rPr>
            </w:pPr>
            <w:r>
              <w:rPr>
                <w:rFonts w:ascii="Times New Roman" w:hAnsi="Times New Roman" w:eastAsia="楷体"/>
                <w:kern w:val="0"/>
                <w:szCs w:val="21"/>
              </w:rPr>
              <w:t xml:space="preserve"> </w:t>
            </w: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r>
              <w:rPr>
                <w:rFonts w:ascii="Times New Roman" w:hAnsi="Times New Roman" w:eastAsia="楷体"/>
                <w:kern w:val="0"/>
                <w:szCs w:val="21"/>
              </w:rPr>
              <w:t xml:space="preserve"> </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化工过程分析与合成</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tcPr>
          <w:p>
            <w:pPr>
              <w:spacing w:line="320" w:lineRule="exact"/>
              <w:jc w:val="center"/>
              <w:rPr>
                <w:rFonts w:ascii="Times New Roman" w:hAnsi="Times New Roman" w:eastAsia="楷体"/>
                <w:szCs w:val="21"/>
              </w:rPr>
            </w:pPr>
          </w:p>
        </w:tc>
        <w:tc>
          <w:tcPr>
            <w:tcW w:w="589"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煤化工工艺学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无机化工工艺学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精细化工工艺学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煤化学</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无机合成与制备技术</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精细有机合成</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有机合成（双语）</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化工生产与经营管理</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p>
        </w:tc>
        <w:tc>
          <w:tcPr>
            <w:tcW w:w="589" w:type="dxa"/>
            <w:tcBorders>
              <w:tl2br w:val="nil"/>
              <w:tr2bl w:val="nil"/>
            </w:tcBorders>
            <w:vAlign w:val="center"/>
          </w:tcPr>
          <w:p>
            <w:pPr>
              <w:widowControl/>
              <w:spacing w:line="320" w:lineRule="exact"/>
              <w:jc w:val="left"/>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widowControl/>
              <w:spacing w:line="320" w:lineRule="exact"/>
              <w:jc w:val="left"/>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过程工程导论（双语）</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现代仪器分析</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科技文献检索与利用</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专业英语</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新能源材料</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绿色化学与化工</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化工技术经济</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left"/>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化工前沿技术与发展</w:t>
            </w: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新型功能肥料</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入学教育</w:t>
            </w:r>
          </w:p>
        </w:tc>
        <w:tc>
          <w:tcPr>
            <w:tcW w:w="588"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tcPr>
          <w:p>
            <w:pPr>
              <w:spacing w:line="320" w:lineRule="exact"/>
              <w:jc w:val="center"/>
              <w:rPr>
                <w:rFonts w:ascii="Times New Roman" w:hAnsi="Times New Roman" w:eastAsia="楷体"/>
                <w:szCs w:val="21"/>
              </w:rPr>
            </w:pPr>
          </w:p>
        </w:tc>
        <w:tc>
          <w:tcPr>
            <w:tcW w:w="589"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widowControl/>
              <w:spacing w:line="320" w:lineRule="exact"/>
              <w:jc w:val="left"/>
              <w:rPr>
                <w:rFonts w:ascii="Times New Roman" w:hAnsi="Times New Roman" w:eastAsia="楷体"/>
                <w:szCs w:val="21"/>
              </w:rPr>
            </w:pP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军事训练</w:t>
            </w:r>
          </w:p>
        </w:tc>
        <w:tc>
          <w:tcPr>
            <w:tcW w:w="588" w:type="dxa"/>
            <w:tcBorders>
              <w:tl2br w:val="nil"/>
              <w:tr2bl w:val="nil"/>
            </w:tcBorders>
            <w:vAlign w:val="center"/>
          </w:tcPr>
          <w:p>
            <w:pPr>
              <w:widowControl/>
              <w:spacing w:line="320" w:lineRule="exact"/>
              <w:jc w:val="left"/>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公益活动</w:t>
            </w:r>
          </w:p>
        </w:tc>
        <w:tc>
          <w:tcPr>
            <w:tcW w:w="588"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就业指导</w:t>
            </w:r>
          </w:p>
        </w:tc>
        <w:tc>
          <w:tcPr>
            <w:tcW w:w="588" w:type="dxa"/>
            <w:tcBorders>
              <w:tl2br w:val="nil"/>
              <w:tr2bl w:val="nil"/>
            </w:tcBorders>
          </w:tcPr>
          <w:p>
            <w:pPr>
              <w:spacing w:line="320" w:lineRule="exact"/>
              <w:jc w:val="center"/>
              <w:rPr>
                <w:rFonts w:ascii="Times New Roman" w:hAnsi="Times New Roman" w:eastAsia="楷体"/>
                <w:szCs w:val="21"/>
              </w:rPr>
            </w:pPr>
          </w:p>
        </w:tc>
        <w:tc>
          <w:tcPr>
            <w:tcW w:w="588" w:type="dxa"/>
            <w:tcBorders>
              <w:tl2br w:val="nil"/>
              <w:tr2bl w:val="nil"/>
            </w:tcBorders>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widowControl/>
              <w:spacing w:line="320" w:lineRule="exact"/>
              <w:jc w:val="left"/>
              <w:rPr>
                <w:rFonts w:ascii="Times New Roman" w:hAnsi="Times New Roman" w:eastAsia="楷体"/>
                <w:szCs w:val="21"/>
              </w:rPr>
            </w:pP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创新创业教育</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工程训练C</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基础化学实验</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大学物理实验</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分析化学综合实验</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有机化学综合实验</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szCs w:val="21"/>
              </w:rPr>
              <w:t>化工原理实验</w:t>
            </w: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9"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认识实习</w:t>
            </w:r>
          </w:p>
        </w:tc>
        <w:tc>
          <w:tcPr>
            <w:tcW w:w="588"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kern w:val="0"/>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kern w:val="0"/>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生产实习</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化工实习实训A</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化工原理课程设计A</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化工综合创新实验</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化学工程与工艺专业实验</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widowControl/>
              <w:spacing w:line="320" w:lineRule="exact"/>
              <w:jc w:val="center"/>
              <w:rPr>
                <w:rFonts w:ascii="Times New Roman" w:hAnsi="Times New Roman" w:eastAsia="楷体"/>
                <w:szCs w:val="21"/>
              </w:rPr>
            </w:pPr>
          </w:p>
        </w:tc>
        <w:tc>
          <w:tcPr>
            <w:tcW w:w="672" w:type="dxa"/>
            <w:tcBorders>
              <w:tl2br w:val="nil"/>
              <w:tr2bl w:val="nil"/>
            </w:tcBorders>
            <w:vAlign w:val="center"/>
          </w:tcPr>
          <w:p>
            <w:pPr>
              <w:widowControl/>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widowControl/>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毕业实习</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kern w:val="0"/>
                <w:szCs w:val="21"/>
              </w:rPr>
            </w:pPr>
          </w:p>
        </w:tc>
        <w:tc>
          <w:tcPr>
            <w:tcW w:w="682"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化工过程模拟</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p>
        </w:tc>
        <w:tc>
          <w:tcPr>
            <w:tcW w:w="672" w:type="dxa"/>
            <w:tcBorders>
              <w:tl2br w:val="nil"/>
              <w:tr2bl w:val="nil"/>
            </w:tcBorders>
            <w:vAlign w:val="center"/>
          </w:tcPr>
          <w:p>
            <w:pPr>
              <w:spacing w:line="320" w:lineRule="exact"/>
              <w:jc w:val="center"/>
              <w:rPr>
                <w:rFonts w:ascii="Times New Roman" w:hAnsi="Times New Roman" w:eastAsia="楷体"/>
                <w:szCs w:val="21"/>
              </w:rPr>
            </w:pP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化工工艺专业课程设计</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widowControl/>
              <w:spacing w:line="320" w:lineRule="exact"/>
              <w:jc w:val="center"/>
              <w:rPr>
                <w:rFonts w:ascii="Times New Roman" w:hAnsi="Times New Roman" w:eastAsia="楷体"/>
                <w:szCs w:val="21"/>
              </w:rPr>
            </w:pP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589" w:type="dxa"/>
            <w:tcBorders>
              <w:tl2br w:val="nil"/>
              <w:tr2bl w:val="nil"/>
            </w:tcBorders>
            <w:vAlign w:val="center"/>
          </w:tcPr>
          <w:p>
            <w:pPr>
              <w:widowControl/>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毕业设计</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0"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毕业论文</w:t>
            </w: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8"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589" w:type="dxa"/>
            <w:tcBorders>
              <w:tl2br w:val="nil"/>
              <w:tr2bl w:val="nil"/>
            </w:tcBorders>
            <w:vAlign w:val="center"/>
          </w:tcPr>
          <w:p>
            <w:pPr>
              <w:spacing w:line="320" w:lineRule="exact"/>
              <w:jc w:val="center"/>
              <w:rPr>
                <w:rFonts w:ascii="Times New Roman" w:hAnsi="Times New Roman" w:eastAsia="楷体"/>
                <w:szCs w:val="21"/>
              </w:rPr>
            </w:pPr>
          </w:p>
        </w:tc>
        <w:tc>
          <w:tcPr>
            <w:tcW w:w="588" w:type="dxa"/>
            <w:tcBorders>
              <w:tl2br w:val="nil"/>
              <w:tr2bl w:val="nil"/>
            </w:tcBorders>
            <w:vAlign w:val="center"/>
          </w:tcPr>
          <w:p>
            <w:pPr>
              <w:spacing w:line="320" w:lineRule="exact"/>
              <w:jc w:val="center"/>
              <w:rPr>
                <w:rFonts w:ascii="Times New Roman" w:hAnsi="Times New Roman" w:eastAsia="楷体"/>
                <w:szCs w:val="21"/>
              </w:rPr>
            </w:pPr>
          </w:p>
        </w:tc>
        <w:tc>
          <w:tcPr>
            <w:tcW w:w="694"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672"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682" w:type="dxa"/>
            <w:tcBorders>
              <w:tl2br w:val="nil"/>
              <w:tr2bl w:val="nil"/>
            </w:tcBorders>
            <w:vAlign w:val="center"/>
          </w:tcPr>
          <w:p>
            <w:pPr>
              <w:spacing w:line="320" w:lineRule="exact"/>
              <w:jc w:val="center"/>
              <w:rPr>
                <w:rFonts w:ascii="Times New Roman" w:hAnsi="Times New Roman" w:eastAsia="楷体"/>
                <w:szCs w:val="21"/>
              </w:rPr>
            </w:pPr>
          </w:p>
        </w:tc>
      </w:tr>
    </w:tbl>
    <w:p>
      <w:pPr>
        <w:widowControl/>
        <w:jc w:val="left"/>
        <w:rPr>
          <w:rFonts w:ascii="Times New Roman" w:hAnsi="Times New Roman"/>
          <w:sz w:val="24"/>
        </w:rPr>
      </w:pPr>
    </w:p>
    <w:p>
      <w:pPr>
        <w:rPr>
          <w:rFonts w:ascii="Times New Roman" w:hAnsi="Times New Roman"/>
          <w:sz w:val="24"/>
        </w:rPr>
      </w:pPr>
    </w:p>
    <w:p>
      <w:pPr>
        <w:rPr>
          <w:rFonts w:ascii="Times New Roman" w:hAnsi="Times New Roman"/>
          <w:sz w:val="24"/>
        </w:rPr>
      </w:pPr>
    </w:p>
    <w:p>
      <w:pPr>
        <w:jc w:val="center"/>
        <w:rPr>
          <w:rFonts w:hint="eastAsia" w:ascii="黑体" w:hAnsi="黑体" w:eastAsia="黑体" w:cs="黑体"/>
          <w:b/>
          <w:sz w:val="24"/>
        </w:rPr>
      </w:pPr>
      <w:r>
        <w:rPr>
          <w:rFonts w:hint="eastAsia" w:ascii="黑体" w:hAnsi="黑体" w:eastAsia="黑体" w:cs="黑体"/>
          <w:b/>
          <w:sz w:val="24"/>
        </w:rPr>
        <w:t>实践教学课程地图</w:t>
      </w:r>
    </w:p>
    <w:tbl>
      <w:tblPr>
        <w:tblStyle w:val="49"/>
        <w:tblW w:w="8789" w:type="dxa"/>
        <w:jc w:val="center"/>
        <w:tblInd w:w="-336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7"/>
        <w:gridCol w:w="1445"/>
        <w:gridCol w:w="1446"/>
        <w:gridCol w:w="1445"/>
        <w:gridCol w:w="1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jc w:val="center"/>
        </w:trPr>
        <w:tc>
          <w:tcPr>
            <w:tcW w:w="3007" w:type="dxa"/>
            <w:tcBorders>
              <w:tl2br w:val="nil"/>
              <w:tr2bl w:val="nil"/>
            </w:tcBorders>
            <w:vAlign w:val="center"/>
          </w:tcPr>
          <w:p>
            <w:pPr>
              <w:spacing w:line="320" w:lineRule="exact"/>
              <w:jc w:val="center"/>
              <w:rPr>
                <w:rFonts w:ascii="Times New Roman" w:hAnsi="Times New Roman" w:eastAsia="楷体"/>
                <w:b/>
                <w:bCs/>
                <w:szCs w:val="21"/>
              </w:rPr>
            </w:pPr>
            <w:r>
              <w:rPr>
                <w:rFonts w:ascii="Times New Roman" w:hAnsi="Times New Roman"/>
                <w:sz w:val="24"/>
              </w:rPr>
              <w:pict>
                <v:line id="_x0000_s1030" o:spid="_x0000_s1030" o:spt="20" style="position:absolute;left:0pt;margin-left:-2.95pt;margin-top:0.8pt;height:37.85pt;width:148.35pt;z-index:251661312;mso-width-relative:page;mso-height-relative:page;" filled="f" stroked="t" coordsize="21600,21600" o:gfxdata="UEsDBAoAAAAAAIdO4kAAAAAAAAAAAAAAAAAEAAAAZHJzL1BLAwQUAAAACACHTuJAnDaDBtgAAAAK&#10;AQAADwAAAGRycy9kb3ducmV2LnhtbE2PTU/DMAyG70j8h8hIXKYtaTdoVeruAPTGhQHi6jWmrWiS&#10;rsk+4NeTncbR9qPXz1uuT2YQB5587yxCslAg2DZO97ZFeH+r5zkIH8hqGpxlhB/2sK6ur0oqtDva&#10;Vz5sQitiiPUFIXQhjIWUvunYkF+4kW28fbnJUIjj1Eo90TGGm0GmSt1LQ72NHzoa+bHj5nuzNwi+&#10;/uBd/TtrZupz2TpOd08vz4R4e5OoBxCBT+ECw1k/qkMVnbZub7UXA8I8UXcRRchWGYgzkOVxsUVI&#10;l/kKZFXK/xWqP1BLAwQUAAAACACHTuJA5lMQx84BAABdAwAADgAAAGRycy9lMm9Eb2MueG1srVNL&#10;jhMxEN0jcQfLe9KfmQyTVjqzmGjYIIgEHKDidndb8k8uk04uwQWQ2MGKJXtuw3AMyk6YD+wQvagu&#10;u16/qnpVvbzaG812MqBytuXVrORMWuE6ZYeWv3t78+ySM4xgO9DOypYfJPKr1dMny8k3snaj050M&#10;jEgsNpNv+Rijb4oCxSgN4Mx5aSnYu2Ag0jEMRRdgInaji7osL4rJhc4HJyQi3a6PQb7K/H0vRXzd&#10;9ygj0y2n2mK2IdttssVqCc0QwI9KnMqAf6jCgLKU9I5qDRHY+6D+ojJKBIeujzPhTOH6XgmZe6Bu&#10;qvKPbt6M4GXuhcRBfycT/j9a8Wq3CUx1La85s2BoRLcfv/348Pnn909kb79+YXUSafLYEPbabsLp&#10;hH4TUsf7Ppj0pl7YvuWL8+p5OefsQNtwdnlRk581lvvIBMUrmlo1p1GIhCjPFueLjCjumXzA+EI6&#10;w5LTcq1sEgEa2L3ESGQE/Q1J19bdKK1zEm3ZRCXMaypAAK1TryGSazw1iHbgDPRAeypiyIzotOrS&#10;14kHw7C91oHtIO1KflLplO0RLKVeA45HXA6dYNoSOgl1lCZ5W9cdsmL5nmaY+U77lpbk4Tl/ff9X&#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DaDBtgAAAAKAQAADwAAAAAAAAABACAAAAAiAAAA&#10;ZHJzL2Rvd25yZXYueG1sUEsBAhQAFAAAAAgAh07iQOZTEMfOAQAAXQMAAA4AAAAAAAAAAQAgAAAA&#10;JwEAAGRycy9lMm9Eb2MueG1sUEsFBgAAAAAGAAYAWQEAAGcFAAAAAA==&#10;">
                  <v:path arrowok="t"/>
                  <v:fill on="f" focussize="0,0"/>
                  <v:stroke color="#000000"/>
                  <v:imagedata o:title=""/>
                  <o:lock v:ext="edit" aspectratio="f"/>
                </v:line>
              </w:pict>
            </w:r>
            <w:r>
              <w:rPr>
                <w:rFonts w:hint="eastAsia" w:ascii="Times New Roman" w:hAnsi="Times New Roman" w:eastAsia="楷体"/>
                <w:b/>
                <w:bCs/>
                <w:szCs w:val="21"/>
              </w:rPr>
              <w:t>实践能力标准</w:t>
            </w:r>
          </w:p>
          <w:p>
            <w:pPr>
              <w:spacing w:line="320" w:lineRule="exact"/>
              <w:rPr>
                <w:rFonts w:ascii="Times New Roman" w:hAnsi="Times New Roman" w:eastAsia="楷体"/>
                <w:b/>
                <w:bCs/>
                <w:szCs w:val="21"/>
              </w:rPr>
            </w:pPr>
            <w:r>
              <w:rPr>
                <w:rFonts w:ascii="Times New Roman" w:hAnsi="Times New Roman" w:eastAsia="楷体"/>
                <w:b/>
                <w:bCs/>
                <w:szCs w:val="21"/>
              </w:rPr>
              <w:t>课程</w:t>
            </w:r>
          </w:p>
        </w:tc>
        <w:tc>
          <w:tcPr>
            <w:tcW w:w="1445" w:type="dxa"/>
            <w:tcBorders>
              <w:tl2br w:val="nil"/>
              <w:tr2bl w:val="nil"/>
            </w:tcBorders>
            <w:vAlign w:val="center"/>
          </w:tcPr>
          <w:p>
            <w:pPr>
              <w:spacing w:line="320" w:lineRule="exact"/>
              <w:jc w:val="center"/>
              <w:rPr>
                <w:rFonts w:ascii="Times New Roman" w:hAnsi="Times New Roman" w:eastAsia="楷体"/>
                <w:b/>
                <w:bCs/>
                <w:szCs w:val="21"/>
              </w:rPr>
            </w:pPr>
            <w:r>
              <w:rPr>
                <w:rFonts w:hint="eastAsia" w:ascii="Times New Roman" w:hAnsi="Times New Roman" w:eastAsia="楷体"/>
                <w:b/>
                <w:bCs/>
                <w:szCs w:val="21"/>
              </w:rPr>
              <w:t>PA1</w:t>
            </w:r>
          </w:p>
        </w:tc>
        <w:tc>
          <w:tcPr>
            <w:tcW w:w="1446" w:type="dxa"/>
            <w:tcBorders>
              <w:tl2br w:val="nil"/>
              <w:tr2bl w:val="nil"/>
            </w:tcBorders>
            <w:vAlign w:val="center"/>
          </w:tcPr>
          <w:p>
            <w:pPr>
              <w:spacing w:line="320" w:lineRule="exact"/>
              <w:jc w:val="center"/>
              <w:rPr>
                <w:rFonts w:ascii="Times New Roman" w:hAnsi="Times New Roman" w:eastAsia="楷体"/>
                <w:b/>
                <w:bCs/>
                <w:szCs w:val="21"/>
              </w:rPr>
            </w:pPr>
            <w:r>
              <w:rPr>
                <w:rFonts w:hint="eastAsia" w:ascii="Times New Roman" w:hAnsi="Times New Roman" w:eastAsia="楷体"/>
                <w:b/>
                <w:bCs/>
                <w:szCs w:val="21"/>
              </w:rPr>
              <w:t>PA2</w:t>
            </w:r>
          </w:p>
        </w:tc>
        <w:tc>
          <w:tcPr>
            <w:tcW w:w="1445" w:type="dxa"/>
            <w:tcBorders>
              <w:tl2br w:val="nil"/>
              <w:tr2bl w:val="nil"/>
            </w:tcBorders>
            <w:vAlign w:val="center"/>
          </w:tcPr>
          <w:p>
            <w:pPr>
              <w:spacing w:line="320" w:lineRule="exact"/>
              <w:jc w:val="center"/>
              <w:rPr>
                <w:rFonts w:ascii="Times New Roman" w:hAnsi="Times New Roman" w:eastAsia="楷体"/>
                <w:b/>
                <w:bCs/>
                <w:szCs w:val="21"/>
              </w:rPr>
            </w:pPr>
            <w:r>
              <w:rPr>
                <w:rFonts w:hint="eastAsia" w:ascii="Times New Roman" w:hAnsi="Times New Roman" w:eastAsia="楷体"/>
                <w:b/>
                <w:bCs/>
                <w:szCs w:val="21"/>
              </w:rPr>
              <w:t>PA3</w:t>
            </w:r>
          </w:p>
        </w:tc>
        <w:tc>
          <w:tcPr>
            <w:tcW w:w="1446" w:type="dxa"/>
            <w:tcBorders>
              <w:tl2br w:val="nil"/>
              <w:tr2bl w:val="nil"/>
            </w:tcBorders>
            <w:vAlign w:val="center"/>
          </w:tcPr>
          <w:p>
            <w:pPr>
              <w:spacing w:line="320" w:lineRule="exact"/>
              <w:jc w:val="center"/>
              <w:rPr>
                <w:rFonts w:ascii="Times New Roman" w:hAnsi="Times New Roman" w:eastAsia="楷体"/>
                <w:b/>
                <w:bCs/>
                <w:szCs w:val="21"/>
              </w:rPr>
            </w:pPr>
            <w:r>
              <w:rPr>
                <w:rFonts w:hint="eastAsia" w:ascii="Times New Roman" w:hAnsi="Times New Roman" w:eastAsia="楷体"/>
                <w:b/>
                <w:bCs/>
                <w:szCs w:val="21"/>
              </w:rPr>
              <w:t>PA4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创新创业教育</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工程训练C</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基础化学实验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大学物理实验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分析化学综合实验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有机化学综合实验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szCs w:val="21"/>
              </w:rPr>
              <w:t>化工原理实验</w:t>
            </w:r>
          </w:p>
        </w:tc>
        <w:tc>
          <w:tcPr>
            <w:tcW w:w="1445"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1445" w:type="dxa"/>
            <w:tcBorders>
              <w:tl2br w:val="nil"/>
              <w:tr2bl w:val="nil"/>
            </w:tcBorders>
            <w:vAlign w:val="center"/>
          </w:tcPr>
          <w:p>
            <w:pPr>
              <w:spacing w:line="320" w:lineRule="exact"/>
              <w:jc w:val="center"/>
              <w:rPr>
                <w:rFonts w:ascii="Times New Roman" w:hAnsi="Times New Roman" w:eastAsia="楷体"/>
                <w:szCs w:val="21"/>
                <w:highlight w:val="yellow"/>
              </w:rPr>
            </w:pPr>
          </w:p>
        </w:tc>
        <w:tc>
          <w:tcPr>
            <w:tcW w:w="1446"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认识实习</w:t>
            </w:r>
          </w:p>
        </w:tc>
        <w:tc>
          <w:tcPr>
            <w:tcW w:w="1445"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kern w:val="0"/>
                <w:szCs w:val="21"/>
              </w:rPr>
            </w:pPr>
          </w:p>
        </w:tc>
        <w:tc>
          <w:tcPr>
            <w:tcW w:w="1445" w:type="dxa"/>
            <w:tcBorders>
              <w:tl2br w:val="nil"/>
              <w:tr2bl w:val="nil"/>
            </w:tcBorders>
            <w:vAlign w:val="center"/>
          </w:tcPr>
          <w:p>
            <w:pPr>
              <w:spacing w:line="320" w:lineRule="exact"/>
              <w:jc w:val="center"/>
              <w:rPr>
                <w:rFonts w:ascii="Times New Roman" w:hAnsi="Times New Roman" w:eastAsia="楷体"/>
                <w:szCs w:val="21"/>
                <w:highlight w:val="yellow"/>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生产实习</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化工实习实训A</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化工原理课程设计A</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widowControl/>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化工综合创新实验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化学工程与工艺专业实验</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毕业实习</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化工过程模拟</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化工工艺专业课程设计</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kern w:val="0"/>
                <w:szCs w:val="21"/>
              </w:rPr>
              <w:t>√</w:t>
            </w:r>
          </w:p>
        </w:tc>
        <w:tc>
          <w:tcPr>
            <w:tcW w:w="1446" w:type="dxa"/>
            <w:tcBorders>
              <w:tl2br w:val="nil"/>
              <w:tr2bl w:val="nil"/>
            </w:tcBorders>
            <w:vAlign w:val="center"/>
          </w:tcPr>
          <w:p>
            <w:pPr>
              <w:widowControl/>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毕业设计</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1446" w:type="dxa"/>
            <w:tcBorders>
              <w:tl2br w:val="nil"/>
              <w:tr2bl w:val="nil"/>
            </w:tcBorders>
            <w:vAlign w:val="center"/>
          </w:tcPr>
          <w:p>
            <w:pPr>
              <w:spacing w:line="320" w:lineRule="exact"/>
              <w:jc w:val="center"/>
              <w:rPr>
                <w:rFonts w:ascii="Times New Roman" w:hAnsi="Times New Roman" w:eastAsia="楷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007"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毕业论文</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c>
          <w:tcPr>
            <w:tcW w:w="1445" w:type="dxa"/>
            <w:tcBorders>
              <w:tl2br w:val="nil"/>
              <w:tr2bl w:val="nil"/>
            </w:tcBorders>
            <w:vAlign w:val="center"/>
          </w:tcPr>
          <w:p>
            <w:pPr>
              <w:spacing w:line="320" w:lineRule="exact"/>
              <w:jc w:val="center"/>
              <w:rPr>
                <w:rFonts w:ascii="Times New Roman" w:hAnsi="Times New Roman" w:eastAsia="楷体"/>
                <w:szCs w:val="21"/>
              </w:rPr>
            </w:pPr>
          </w:p>
        </w:tc>
        <w:tc>
          <w:tcPr>
            <w:tcW w:w="1446" w:type="dxa"/>
            <w:tcBorders>
              <w:tl2br w:val="nil"/>
              <w:tr2bl w:val="nil"/>
            </w:tcBorders>
            <w:vAlign w:val="center"/>
          </w:tcPr>
          <w:p>
            <w:pPr>
              <w:spacing w:line="320" w:lineRule="exact"/>
              <w:jc w:val="center"/>
              <w:rPr>
                <w:rFonts w:ascii="Times New Roman" w:hAnsi="Times New Roman" w:eastAsia="楷体"/>
                <w:szCs w:val="21"/>
              </w:rPr>
            </w:pPr>
            <w:r>
              <w:rPr>
                <w:rFonts w:ascii="Times New Roman" w:hAnsi="Times New Roman" w:eastAsia="楷体"/>
                <w:szCs w:val="21"/>
              </w:rPr>
              <w:t>√</w:t>
            </w:r>
          </w:p>
        </w:tc>
      </w:tr>
    </w:tbl>
    <w:p>
      <w:pPr>
        <w:rPr>
          <w:rFonts w:ascii="Times New Roman" w:hAnsi="Times New Roman"/>
          <w:sz w:val="24"/>
        </w:rPr>
        <w:sectPr>
          <w:footerReference r:id="rId3" w:type="default"/>
          <w:pgSz w:w="11906" w:h="16838"/>
          <w:pgMar w:top="1418" w:right="1588" w:bottom="1418" w:left="1588" w:header="851" w:footer="992" w:gutter="0"/>
          <w:pgNumType w:fmt="decimal" w:start="1"/>
          <w:cols w:space="720" w:num="1"/>
          <w:docGrid w:type="linesAndChars" w:linePitch="312" w:charSpace="0"/>
        </w:sectPr>
      </w:pPr>
    </w:p>
    <w:p>
      <w:pPr>
        <w:widowControl/>
        <w:spacing w:before="120" w:beforeLines="50" w:after="120" w:afterLines="50" w:line="440" w:lineRule="exact"/>
        <w:ind w:firstLine="482" w:firstLineChars="200"/>
        <w:jc w:val="left"/>
        <w:rPr>
          <w:rFonts w:ascii="Times New Roman" w:hAnsi="Times New Roman"/>
          <w:b/>
          <w:bCs/>
          <w:sz w:val="24"/>
          <w:szCs w:val="24"/>
        </w:rPr>
      </w:pPr>
      <w:r>
        <w:rPr>
          <w:rFonts w:ascii="Times New Roman" w:hAnsi="Times New Roman"/>
          <w:b/>
          <w:bCs/>
          <w:sz w:val="24"/>
          <w:szCs w:val="24"/>
        </w:rPr>
        <w:t>六、课程关系图</w:t>
      </w:r>
    </w:p>
    <w:p>
      <w:pPr>
        <w:spacing w:before="240" w:after="120" w:line="330" w:lineRule="auto"/>
        <w:jc w:val="center"/>
        <w:rPr>
          <w:rFonts w:ascii="Times New Roman" w:hAnsi="Times New Roman"/>
          <w:kern w:val="0"/>
          <w:sz w:val="24"/>
          <w:szCs w:val="24"/>
        </w:rPr>
      </w:pPr>
      <w:r>
        <w:rPr>
          <w:rFonts w:ascii="Times New Roman" w:hAnsi="Times New Roman"/>
          <w:kern w:val="0"/>
          <w:sz w:val="24"/>
          <w:szCs w:val="24"/>
        </w:rPr>
        <w:drawing>
          <wp:inline distT="0" distB="0" distL="0" distR="0">
            <wp:extent cx="7917180" cy="5036820"/>
            <wp:effectExtent l="19050" t="0" r="7620" b="0"/>
            <wp:docPr id="1" name="图片 211" descr="理论课程地图2016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1" descr="理论课程地图20160908"/>
                    <pic:cNvPicPr>
                      <a:picLocks noChangeAspect="1" noChangeArrowheads="1"/>
                    </pic:cNvPicPr>
                  </pic:nvPicPr>
                  <pic:blipFill>
                    <a:blip r:embed="rId10" cstate="print"/>
                    <a:srcRect/>
                    <a:stretch>
                      <a:fillRect/>
                    </a:stretch>
                  </pic:blipFill>
                  <pic:spPr>
                    <a:xfrm>
                      <a:off x="0" y="0"/>
                      <a:ext cx="7917180" cy="5036820"/>
                    </a:xfrm>
                    <a:prstGeom prst="rect">
                      <a:avLst/>
                    </a:prstGeom>
                    <a:noFill/>
                    <a:ln w="9525">
                      <a:noFill/>
                      <a:miter lim="800000"/>
                      <a:headEnd/>
                      <a:tailEnd/>
                    </a:ln>
                  </pic:spPr>
                </pic:pic>
              </a:graphicData>
            </a:graphic>
          </wp:inline>
        </w:drawing>
      </w:r>
    </w:p>
    <w:p>
      <w:pPr>
        <w:widowControl/>
        <w:jc w:val="left"/>
        <w:rPr>
          <w:rFonts w:ascii="Times New Roman" w:hAnsi="Times New Roman"/>
          <w:kern w:val="0"/>
          <w:sz w:val="24"/>
          <w:szCs w:val="24"/>
        </w:rPr>
      </w:pPr>
    </w:p>
    <w:p>
      <w:pPr>
        <w:spacing w:before="240" w:after="120" w:line="330" w:lineRule="auto"/>
        <w:jc w:val="center"/>
        <w:rPr>
          <w:rFonts w:ascii="Times New Roman" w:hAnsi="Times New Roman"/>
          <w:sz w:val="24"/>
        </w:rPr>
        <w:sectPr>
          <w:headerReference r:id="rId4" w:type="default"/>
          <w:footerReference r:id="rId5" w:type="default"/>
          <w:pgSz w:w="16838" w:h="11906" w:orient="landscape"/>
          <w:pgMar w:top="680" w:right="397" w:bottom="567" w:left="397" w:header="851" w:footer="992" w:gutter="0"/>
          <w:pgNumType w:fmt="decimal"/>
          <w:cols w:space="720" w:num="1"/>
          <w:docGrid w:linePitch="312" w:charSpace="0"/>
        </w:sectPr>
      </w:pPr>
    </w:p>
    <w:p>
      <w:pPr>
        <w:spacing w:before="240" w:after="120" w:line="330" w:lineRule="auto"/>
        <w:jc w:val="center"/>
        <w:rPr>
          <w:rFonts w:ascii="Times New Roman" w:hAnsi="Times New Roman"/>
          <w:sz w:val="24"/>
        </w:rPr>
      </w:pPr>
      <w:r>
        <w:rPr>
          <w:rFonts w:ascii="Times New Roman" w:hAnsi="Times New Roman"/>
        </w:rPr>
        <w:drawing>
          <wp:inline distT="0" distB="0" distL="0" distR="0">
            <wp:extent cx="7978140" cy="4907280"/>
            <wp:effectExtent l="19050" t="0" r="3810" b="0"/>
            <wp:docPr id="2" name="图片 212" descr="时间教学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2" descr="时间教学地图"/>
                    <pic:cNvPicPr>
                      <a:picLocks noChangeAspect="1" noChangeArrowheads="1"/>
                    </pic:cNvPicPr>
                  </pic:nvPicPr>
                  <pic:blipFill>
                    <a:blip r:embed="rId11" cstate="print"/>
                    <a:srcRect/>
                    <a:stretch>
                      <a:fillRect/>
                    </a:stretch>
                  </pic:blipFill>
                  <pic:spPr>
                    <a:xfrm>
                      <a:off x="0" y="0"/>
                      <a:ext cx="7978140" cy="4907280"/>
                    </a:xfrm>
                    <a:prstGeom prst="rect">
                      <a:avLst/>
                    </a:prstGeom>
                    <a:noFill/>
                    <a:ln w="9525">
                      <a:noFill/>
                      <a:miter lim="800000"/>
                      <a:headEnd/>
                      <a:tailEnd/>
                    </a:ln>
                  </pic:spPr>
                </pic:pic>
              </a:graphicData>
            </a:graphic>
          </wp:inline>
        </w:drawing>
      </w:r>
    </w:p>
    <w:p>
      <w:pPr>
        <w:widowControl/>
        <w:jc w:val="center"/>
        <w:rPr>
          <w:rFonts w:ascii="Times New Roman" w:hAnsi="Times New Roman"/>
          <w:sz w:val="24"/>
        </w:rPr>
        <w:sectPr>
          <w:pgSz w:w="16838" w:h="11906" w:orient="landscape"/>
          <w:pgMar w:top="680" w:right="397" w:bottom="567" w:left="397" w:header="851" w:footer="992" w:gutter="0"/>
          <w:pgNumType w:fmt="decimal"/>
          <w:cols w:space="720" w:num="1"/>
          <w:docGrid w:linePitch="312" w:charSpace="0"/>
        </w:sectPr>
      </w:pPr>
    </w:p>
    <w:p>
      <w:pPr>
        <w:widowControl/>
        <w:jc w:val="left"/>
        <w:rPr>
          <w:rFonts w:ascii="Times New Roman" w:hAnsi="Times New Roman"/>
          <w:sz w:val="24"/>
        </w:rPr>
      </w:pPr>
    </w:p>
    <w:p>
      <w:pPr>
        <w:widowControl/>
        <w:spacing w:before="120" w:beforeLines="50" w:after="120" w:afterLines="50" w:line="440" w:lineRule="exact"/>
        <w:ind w:firstLine="482" w:firstLineChars="200"/>
        <w:jc w:val="left"/>
        <w:rPr>
          <w:rFonts w:ascii="Times New Roman" w:hAnsi="Times New Roman"/>
          <w:b/>
          <w:bCs/>
          <w:sz w:val="24"/>
          <w:szCs w:val="24"/>
        </w:rPr>
      </w:pPr>
      <w:r>
        <w:rPr>
          <w:rFonts w:ascii="Times New Roman" w:hAnsi="Times New Roman"/>
          <w:b/>
          <w:bCs/>
          <w:sz w:val="24"/>
          <w:szCs w:val="24"/>
        </w:rPr>
        <w:t>七、毕业合格标准</w:t>
      </w:r>
    </w:p>
    <w:p>
      <w:pPr>
        <w:spacing w:line="440" w:lineRule="exact"/>
        <w:ind w:firstLine="960" w:firstLineChars="400"/>
        <w:rPr>
          <w:rFonts w:ascii="Times New Roman" w:hAnsi="Times New Roman"/>
          <w:sz w:val="24"/>
          <w:szCs w:val="24"/>
        </w:rPr>
      </w:pPr>
      <w:r>
        <w:rPr>
          <w:rFonts w:ascii="Times New Roman" w:hAnsi="Times New Roman"/>
          <w:sz w:val="24"/>
          <w:szCs w:val="24"/>
        </w:rPr>
        <w:t>1. 符合德育培养要求。</w:t>
      </w:r>
    </w:p>
    <w:p>
      <w:pPr>
        <w:spacing w:line="440" w:lineRule="exact"/>
        <w:ind w:firstLine="960" w:firstLineChars="400"/>
        <w:jc w:val="left"/>
        <w:rPr>
          <w:rFonts w:ascii="Times New Roman" w:hAnsi="Times New Roman"/>
        </w:rPr>
      </w:pPr>
      <w:r>
        <w:rPr>
          <w:rFonts w:ascii="Times New Roman" w:hAnsi="Times New Roman"/>
          <w:sz w:val="24"/>
          <w:szCs w:val="24"/>
        </w:rPr>
        <w:t>2. 最低毕业学分190。其中理论课程139.5学分，实践教学环节50.5学分。其中创新创业教育不得低于4学分，通识教育选修课程不得低于9学分，辅修课程不得低于6学分。</w:t>
      </w:r>
    </w:p>
    <w:p>
      <w:pPr>
        <w:widowControl/>
        <w:spacing w:before="120" w:beforeLines="50" w:after="120" w:afterLines="50" w:line="440" w:lineRule="exact"/>
        <w:ind w:firstLine="482" w:firstLineChars="200"/>
        <w:jc w:val="left"/>
        <w:rPr>
          <w:rFonts w:ascii="Times New Roman" w:hAnsi="Times New Roman"/>
          <w:b/>
          <w:bCs/>
          <w:sz w:val="24"/>
          <w:szCs w:val="24"/>
        </w:rPr>
      </w:pPr>
    </w:p>
    <w:p>
      <w:pPr>
        <w:widowControl/>
        <w:spacing w:before="120" w:beforeLines="50" w:after="120" w:afterLines="50" w:line="440" w:lineRule="exact"/>
        <w:ind w:firstLine="482" w:firstLineChars="200"/>
        <w:jc w:val="left"/>
        <w:rPr>
          <w:rFonts w:ascii="Times New Roman" w:hAnsi="Times New Roman"/>
          <w:b/>
          <w:bCs/>
          <w:sz w:val="24"/>
          <w:szCs w:val="24"/>
        </w:rPr>
      </w:pPr>
      <w:r>
        <w:rPr>
          <w:rFonts w:ascii="Times New Roman" w:hAnsi="Times New Roman"/>
          <w:b/>
          <w:bCs/>
          <w:sz w:val="24"/>
          <w:szCs w:val="24"/>
        </w:rPr>
        <w:t>八、授予学位</w:t>
      </w:r>
    </w:p>
    <w:p>
      <w:pPr>
        <w:spacing w:line="440" w:lineRule="exact"/>
        <w:ind w:firstLine="960" w:firstLineChars="400"/>
        <w:jc w:val="left"/>
        <w:rPr>
          <w:rFonts w:ascii="Times New Roman" w:hAnsi="Times New Roman"/>
          <w:sz w:val="24"/>
          <w:szCs w:val="24"/>
        </w:rPr>
      </w:pPr>
      <w:r>
        <w:rPr>
          <w:rFonts w:ascii="Times New Roman" w:hAnsi="Times New Roman"/>
          <w:sz w:val="24"/>
          <w:szCs w:val="24"/>
        </w:rPr>
        <w:t>本专业授予工学学士学位。</w:t>
      </w:r>
    </w:p>
    <w:p>
      <w:pPr>
        <w:widowControl/>
        <w:spacing w:before="120" w:beforeLines="50" w:after="120" w:afterLines="50" w:line="440" w:lineRule="exact"/>
        <w:ind w:firstLine="482" w:firstLineChars="200"/>
        <w:jc w:val="left"/>
        <w:rPr>
          <w:rFonts w:ascii="Times New Roman" w:hAnsi="Times New Roman"/>
          <w:b/>
          <w:bCs/>
          <w:sz w:val="24"/>
          <w:szCs w:val="24"/>
        </w:rPr>
      </w:pPr>
    </w:p>
    <w:p>
      <w:pPr>
        <w:widowControl/>
        <w:spacing w:before="120" w:beforeLines="50" w:after="120" w:afterLines="50" w:line="440" w:lineRule="exact"/>
        <w:ind w:firstLine="482" w:firstLineChars="200"/>
        <w:jc w:val="left"/>
        <w:rPr>
          <w:rFonts w:ascii="Times New Roman" w:hAnsi="Times New Roman"/>
          <w:b/>
          <w:bCs/>
          <w:sz w:val="24"/>
          <w:szCs w:val="24"/>
        </w:rPr>
      </w:pPr>
      <w:r>
        <w:rPr>
          <w:rFonts w:ascii="Times New Roman" w:hAnsi="Times New Roman"/>
          <w:b/>
          <w:bCs/>
          <w:sz w:val="24"/>
          <w:szCs w:val="24"/>
        </w:rPr>
        <w:t>九、课程配置流程图</w:t>
      </w:r>
    </w:p>
    <w:p>
      <w:pPr>
        <w:spacing w:line="440" w:lineRule="exact"/>
        <w:ind w:firstLine="960" w:firstLineChars="400"/>
        <w:jc w:val="left"/>
        <w:rPr>
          <w:rFonts w:ascii="Times New Roman" w:hAnsi="Times New Roman"/>
          <w:sz w:val="24"/>
          <w:szCs w:val="24"/>
        </w:rPr>
        <w:sectPr>
          <w:headerReference r:id="rId6" w:type="default"/>
          <w:pgSz w:w="11906" w:h="16838"/>
          <w:pgMar w:top="397" w:right="567" w:bottom="397" w:left="680" w:header="851" w:footer="992" w:gutter="0"/>
          <w:pgNumType w:fmt="decimal"/>
          <w:cols w:space="720" w:num="1"/>
          <w:docGrid w:linePitch="312" w:charSpace="0"/>
        </w:sectPr>
      </w:pPr>
      <w:r>
        <w:rPr>
          <w:rFonts w:ascii="Times New Roman" w:hAnsi="Times New Roman"/>
          <w:sz w:val="24"/>
          <w:szCs w:val="24"/>
        </w:rPr>
        <w:t>见附件</w:t>
      </w:r>
    </w:p>
    <w:tbl>
      <w:tblPr>
        <w:tblStyle w:val="49"/>
        <w:tblW w:w="13961" w:type="dxa"/>
        <w:tblInd w:w="0" w:type="dxa"/>
        <w:tblLayout w:type="fixed"/>
        <w:tblCellMar>
          <w:top w:w="0" w:type="dxa"/>
          <w:left w:w="0" w:type="dxa"/>
          <w:bottom w:w="0" w:type="dxa"/>
          <w:right w:w="0" w:type="dxa"/>
        </w:tblCellMar>
      </w:tblPr>
      <w:tblGrid>
        <w:gridCol w:w="903"/>
        <w:gridCol w:w="74"/>
        <w:gridCol w:w="100"/>
        <w:gridCol w:w="10"/>
        <w:gridCol w:w="539"/>
        <w:gridCol w:w="413"/>
        <w:gridCol w:w="633"/>
        <w:gridCol w:w="100"/>
        <w:gridCol w:w="26"/>
        <w:gridCol w:w="418"/>
        <w:gridCol w:w="34"/>
        <w:gridCol w:w="31"/>
        <w:gridCol w:w="347"/>
        <w:gridCol w:w="101"/>
        <w:gridCol w:w="35"/>
        <w:gridCol w:w="275"/>
        <w:gridCol w:w="169"/>
        <w:gridCol w:w="40"/>
        <w:gridCol w:w="337"/>
        <w:gridCol w:w="102"/>
        <w:gridCol w:w="43"/>
        <w:gridCol w:w="309"/>
        <w:gridCol w:w="126"/>
        <w:gridCol w:w="48"/>
        <w:gridCol w:w="282"/>
        <w:gridCol w:w="149"/>
        <w:gridCol w:w="51"/>
        <w:gridCol w:w="427"/>
        <w:gridCol w:w="7"/>
        <w:gridCol w:w="49"/>
        <w:gridCol w:w="422"/>
        <w:gridCol w:w="60"/>
        <w:gridCol w:w="103"/>
        <w:gridCol w:w="316"/>
        <w:gridCol w:w="64"/>
        <w:gridCol w:w="33"/>
        <w:gridCol w:w="381"/>
        <w:gridCol w:w="69"/>
        <w:gridCol w:w="183"/>
        <w:gridCol w:w="227"/>
        <w:gridCol w:w="72"/>
        <w:gridCol w:w="246"/>
        <w:gridCol w:w="160"/>
        <w:gridCol w:w="77"/>
        <w:gridCol w:w="175"/>
        <w:gridCol w:w="227"/>
        <w:gridCol w:w="80"/>
        <w:gridCol w:w="237"/>
        <w:gridCol w:w="161"/>
        <w:gridCol w:w="85"/>
        <w:gridCol w:w="299"/>
        <w:gridCol w:w="95"/>
        <w:gridCol w:w="88"/>
        <w:gridCol w:w="228"/>
        <w:gridCol w:w="163"/>
        <w:gridCol w:w="92"/>
        <w:gridCol w:w="289"/>
        <w:gridCol w:w="97"/>
        <w:gridCol w:w="96"/>
        <w:gridCol w:w="352"/>
        <w:gridCol w:w="31"/>
        <w:gridCol w:w="100"/>
        <w:gridCol w:w="280"/>
        <w:gridCol w:w="98"/>
        <w:gridCol w:w="104"/>
        <w:gridCol w:w="211"/>
        <w:gridCol w:w="164"/>
        <w:gridCol w:w="108"/>
        <w:gridCol w:w="136"/>
        <w:gridCol w:w="235"/>
        <w:gridCol w:w="111"/>
        <w:gridCol w:w="288"/>
        <w:gridCol w:w="258"/>
        <w:gridCol w:w="154"/>
        <w:gridCol w:w="108"/>
        <w:gridCol w:w="217"/>
        <w:gridCol w:w="3"/>
      </w:tblGrid>
      <w:tr>
        <w:tblPrEx>
          <w:tblLayout w:type="fixed"/>
          <w:tblCellMar>
            <w:top w:w="0" w:type="dxa"/>
            <w:left w:w="0" w:type="dxa"/>
            <w:bottom w:w="0" w:type="dxa"/>
            <w:right w:w="0" w:type="dxa"/>
          </w:tblCellMar>
        </w:tblPrEx>
        <w:trPr>
          <w:gridAfter w:val="3"/>
          <w:wAfter w:w="328" w:type="dxa"/>
          <w:trHeight w:val="500" w:hRule="atLeast"/>
        </w:trPr>
        <w:tc>
          <w:tcPr>
            <w:tcW w:w="12587" w:type="dxa"/>
            <w:gridSpan w:val="69"/>
            <w:tcBorders>
              <w:top w:val="nil"/>
              <w:left w:val="nil"/>
              <w:bottom w:val="single" w:color="auto" w:sz="6" w:space="0"/>
              <w:right w:val="nil"/>
            </w:tcBorders>
            <w:shd w:val="clear" w:color="000000" w:fill="FFFFFF"/>
            <w:vAlign w:val="center"/>
          </w:tcPr>
          <w:p>
            <w:pPr>
              <w:widowControl/>
              <w:spacing w:line="440" w:lineRule="exact"/>
              <w:jc w:val="center"/>
              <w:rPr>
                <w:rFonts w:ascii="Times New Roman" w:hAnsi="Times New Roman"/>
                <w:b/>
                <w:kern w:val="0"/>
                <w:szCs w:val="21"/>
              </w:rPr>
            </w:pPr>
            <w:r>
              <w:rPr>
                <w:rFonts w:ascii="Times New Roman" w:hAnsi="Times New Roman"/>
                <w:b/>
                <w:kern w:val="0"/>
                <w:sz w:val="24"/>
                <w:szCs w:val="24"/>
              </w:rPr>
              <w:t>合肥工业大学化学工程与工艺专业指导性教学计划</w:t>
            </w:r>
          </w:p>
        </w:tc>
        <w:tc>
          <w:tcPr>
            <w:tcW w:w="634" w:type="dxa"/>
            <w:gridSpan w:val="3"/>
            <w:tcBorders>
              <w:top w:val="nil"/>
              <w:left w:val="nil"/>
              <w:bottom w:val="single" w:color="auto" w:sz="6" w:space="0"/>
              <w:right w:val="nil"/>
            </w:tcBorders>
            <w:shd w:val="clear" w:color="000000" w:fill="FFFFFF"/>
            <w:vAlign w:val="bottom"/>
          </w:tcPr>
          <w:p>
            <w:pPr>
              <w:widowControl/>
              <w:jc w:val="left"/>
              <w:rPr>
                <w:rFonts w:ascii="Times New Roman" w:hAnsi="Times New Roman"/>
                <w:kern w:val="0"/>
                <w:szCs w:val="21"/>
              </w:rPr>
            </w:pPr>
            <w:r>
              <w:rPr>
                <w:rFonts w:ascii="Times New Roman" w:hAnsi="Times New Roman"/>
                <w:kern w:val="0"/>
                <w:szCs w:val="21"/>
              </w:rPr>
              <w:t>　</w:t>
            </w:r>
          </w:p>
        </w:tc>
        <w:tc>
          <w:tcPr>
            <w:tcW w:w="412" w:type="dxa"/>
            <w:gridSpan w:val="2"/>
            <w:tcBorders>
              <w:top w:val="nil"/>
              <w:left w:val="nil"/>
              <w:bottom w:val="single" w:color="auto" w:sz="6" w:space="0"/>
              <w:right w:val="nil"/>
            </w:tcBorders>
            <w:shd w:val="clear" w:color="000000" w:fill="FFFFFF"/>
            <w:vAlign w:val="bottom"/>
          </w:tcPr>
          <w:p>
            <w:pPr>
              <w:widowControl/>
              <w:jc w:val="left"/>
              <w:rPr>
                <w:rFonts w:ascii="Times New Roman" w:hAnsi="Times New Roman"/>
                <w:kern w:val="0"/>
                <w:szCs w:val="21"/>
              </w:rPr>
            </w:pPr>
            <w:r>
              <w:rPr>
                <w:rFonts w:ascii="Times New Roman" w:hAnsi="Times New Roman"/>
                <w:kern w:val="0"/>
                <w:szCs w:val="21"/>
              </w:rPr>
              <w:t>　</w:t>
            </w:r>
          </w:p>
        </w:tc>
      </w:tr>
      <w:tr>
        <w:tblPrEx>
          <w:tblLayout w:type="fixed"/>
          <w:tblCellMar>
            <w:top w:w="0" w:type="dxa"/>
            <w:left w:w="0" w:type="dxa"/>
            <w:bottom w:w="0" w:type="dxa"/>
            <w:right w:w="0" w:type="dxa"/>
          </w:tblCellMar>
        </w:tblPrEx>
        <w:trPr>
          <w:gridAfter w:val="2"/>
          <w:wAfter w:w="220" w:type="dxa"/>
        </w:trPr>
        <w:tc>
          <w:tcPr>
            <w:tcW w:w="12587" w:type="dxa"/>
            <w:gridSpan w:val="69"/>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b/>
                <w:kern w:val="0"/>
                <w:szCs w:val="21"/>
              </w:rPr>
            </w:pPr>
            <w:r>
              <w:rPr>
                <w:rFonts w:ascii="Times New Roman" w:hAnsi="Times New Roman" w:eastAsia="楷体"/>
                <w:b/>
                <w:kern w:val="0"/>
                <w:szCs w:val="21"/>
              </w:rPr>
              <w:t>通 识 教 育  必  修  课</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bottom"/>
          </w:tcPr>
          <w:p>
            <w:pPr>
              <w:widowControl/>
              <w:spacing w:line="320" w:lineRule="exact"/>
              <w:jc w:val="left"/>
              <w:rPr>
                <w:rFonts w:ascii="Times New Roman" w:hAnsi="Times New Roman" w:eastAsia="楷体"/>
                <w:kern w:val="0"/>
                <w:szCs w:val="21"/>
              </w:rPr>
            </w:pPr>
            <w:r>
              <w:rPr>
                <w:rFonts w:ascii="Times New Roman" w:hAnsi="Times New Roman" w:eastAsia="楷体"/>
                <w:kern w:val="0"/>
                <w:szCs w:val="21"/>
              </w:rPr>
              <w:t>　</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bottom"/>
          </w:tcPr>
          <w:p>
            <w:pPr>
              <w:widowControl/>
              <w:spacing w:line="320" w:lineRule="exact"/>
              <w:jc w:val="left"/>
              <w:rPr>
                <w:rFonts w:ascii="Times New Roman" w:hAnsi="Times New Roman" w:eastAsia="楷体"/>
                <w:kern w:val="0"/>
                <w:szCs w:val="21"/>
              </w:rPr>
            </w:pPr>
            <w:r>
              <w:rPr>
                <w:rFonts w:ascii="Times New Roman" w:hAnsi="Times New Roman" w:eastAsia="楷体"/>
                <w:kern w:val="0"/>
                <w:szCs w:val="21"/>
              </w:rPr>
              <w:t>　</w:t>
            </w:r>
          </w:p>
        </w:tc>
      </w:tr>
      <w:tr>
        <w:tblPrEx>
          <w:tblLayout w:type="fixed"/>
          <w:tblCellMar>
            <w:top w:w="0" w:type="dxa"/>
            <w:left w:w="0" w:type="dxa"/>
            <w:bottom w:w="0" w:type="dxa"/>
            <w:right w:w="0" w:type="dxa"/>
          </w:tblCellMar>
        </w:tblPrEx>
        <w:trPr>
          <w:gridAfter w:val="2"/>
          <w:wAfter w:w="220" w:type="dxa"/>
        </w:trPr>
        <w:tc>
          <w:tcPr>
            <w:tcW w:w="977" w:type="dxa"/>
            <w:gridSpan w:val="2"/>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课程编号</w:t>
            </w:r>
          </w:p>
        </w:tc>
        <w:tc>
          <w:tcPr>
            <w:tcW w:w="649"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课程名称</w:t>
            </w:r>
          </w:p>
        </w:tc>
        <w:tc>
          <w:tcPr>
            <w:tcW w:w="413" w:type="dxa"/>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考试方式</w:t>
            </w:r>
          </w:p>
        </w:tc>
        <w:tc>
          <w:tcPr>
            <w:tcW w:w="633" w:type="dxa"/>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总学时</w:t>
            </w:r>
          </w:p>
        </w:tc>
        <w:tc>
          <w:tcPr>
            <w:tcW w:w="1913" w:type="dxa"/>
            <w:gridSpan w:val="1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学 时 分 配</w:t>
            </w:r>
          </w:p>
        </w:tc>
        <w:tc>
          <w:tcPr>
            <w:tcW w:w="45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课内学分</w:t>
            </w:r>
          </w:p>
        </w:tc>
        <w:tc>
          <w:tcPr>
            <w:tcW w:w="456"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课外学分</w:t>
            </w:r>
          </w:p>
        </w:tc>
        <w:tc>
          <w:tcPr>
            <w:tcW w:w="7092" w:type="dxa"/>
            <w:gridSpan w:val="4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各学期学分分配</w:t>
            </w:r>
          </w:p>
        </w:tc>
        <w:tc>
          <w:tcPr>
            <w:tcW w:w="63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建议起止周次</w:t>
            </w:r>
          </w:p>
        </w:tc>
        <w:tc>
          <w:tcPr>
            <w:tcW w:w="520"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是否集中周考试</w:t>
            </w:r>
          </w:p>
        </w:tc>
      </w:tr>
      <w:tr>
        <w:tblPrEx>
          <w:tblLayout w:type="fixed"/>
          <w:tblCellMar>
            <w:top w:w="0" w:type="dxa"/>
            <w:left w:w="0" w:type="dxa"/>
            <w:bottom w:w="0" w:type="dxa"/>
            <w:right w:w="0" w:type="dxa"/>
          </w:tblCellMar>
        </w:tblPrEx>
        <w:trPr>
          <w:gridAfter w:val="2"/>
          <w:wAfter w:w="220" w:type="dxa"/>
        </w:trPr>
        <w:tc>
          <w:tcPr>
            <w:tcW w:w="977"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49"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课内</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实验</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上机</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课外</w:t>
            </w:r>
          </w:p>
        </w:tc>
        <w:tc>
          <w:tcPr>
            <w:tcW w:w="45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56"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小</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小</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小</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小</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w:t>
            </w:r>
          </w:p>
        </w:tc>
        <w:tc>
          <w:tcPr>
            <w:tcW w:w="634"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20"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xml:space="preserve">1201111B 1201121B 1201131B 1201141B 1201151B  1201161B 1201171B 1201181B </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形势与政策</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(64)</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(64)</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bottom"/>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1500011B 1500021B 1500031B 1500041B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英语</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176</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160</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6-16   1-10 1-10  1-10</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5100041B</w:t>
            </w:r>
            <w:r>
              <w:rPr>
                <w:rFonts w:ascii="Times New Roman" w:hAnsi="Times New Roman" w:eastAsia="楷体"/>
                <w:kern w:val="0"/>
                <w:szCs w:val="21"/>
              </w:rPr>
              <w:br w:type="textWrapping"/>
            </w:r>
            <w:r>
              <w:rPr>
                <w:rFonts w:ascii="Times New Roman" w:hAnsi="Times New Roman" w:eastAsia="楷体"/>
                <w:kern w:val="0"/>
                <w:szCs w:val="21"/>
              </w:rPr>
              <w:t>5100051B</w:t>
            </w:r>
            <w:r>
              <w:rPr>
                <w:rFonts w:ascii="Times New Roman" w:hAnsi="Times New Roman" w:eastAsia="楷体"/>
                <w:kern w:val="0"/>
                <w:szCs w:val="21"/>
              </w:rPr>
              <w:br w:type="textWrapping"/>
            </w:r>
            <w:r>
              <w:rPr>
                <w:rFonts w:ascii="Times New Roman" w:hAnsi="Times New Roman" w:eastAsia="楷体"/>
                <w:kern w:val="0"/>
                <w:szCs w:val="21"/>
              </w:rPr>
              <w:t>5100061B</w:t>
            </w:r>
            <w:r>
              <w:rPr>
                <w:rFonts w:ascii="Times New Roman" w:hAnsi="Times New Roman" w:eastAsia="楷体"/>
                <w:kern w:val="0"/>
                <w:szCs w:val="21"/>
              </w:rPr>
              <w:br w:type="textWrapping"/>
            </w:r>
            <w:r>
              <w:rPr>
                <w:rFonts w:ascii="Times New Roman" w:hAnsi="Times New Roman" w:eastAsia="楷体"/>
                <w:kern w:val="0"/>
                <w:szCs w:val="21"/>
              </w:rPr>
              <w:t>5100071B</w:t>
            </w:r>
          </w:p>
        </w:tc>
        <w:tc>
          <w:tcPr>
            <w:tcW w:w="649"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大学体育</w:t>
            </w:r>
          </w:p>
        </w:tc>
        <w:tc>
          <w:tcPr>
            <w:tcW w:w="413" w:type="dxa"/>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144</w:t>
            </w:r>
          </w:p>
        </w:tc>
        <w:tc>
          <w:tcPr>
            <w:tcW w:w="54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144</w:t>
            </w:r>
          </w:p>
        </w:tc>
        <w:tc>
          <w:tcPr>
            <w:tcW w:w="412"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256</w:t>
            </w:r>
          </w:p>
        </w:tc>
        <w:tc>
          <w:tcPr>
            <w:tcW w:w="45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634" w:type="dxa"/>
            <w:gridSpan w:val="4"/>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634" w:type="dxa"/>
            <w:gridSpan w:val="4"/>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413"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545"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412"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vMerge w:val="restart"/>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49"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2"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1"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(不计入总学时)</w:t>
            </w:r>
          </w:p>
        </w:tc>
        <w:tc>
          <w:tcPr>
            <w:tcW w:w="45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56"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4" w:type="dxa"/>
            <w:gridSpan w:val="4"/>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4" w:type="dxa"/>
            <w:gridSpan w:val="4"/>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3"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3"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5"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2"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5"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1"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45"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1"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13"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408"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634" w:type="dxa"/>
            <w:gridSpan w:val="3"/>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20" w:lineRule="exact"/>
              <w:jc w:val="left"/>
              <w:rPr>
                <w:rFonts w:ascii="Times New Roman" w:hAnsi="Times New Roman" w:eastAsia="楷体"/>
                <w:kern w:val="0"/>
                <w:szCs w:val="21"/>
              </w:rPr>
            </w:pP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1200141B</w:t>
            </w:r>
            <w:r>
              <w:rPr>
                <w:rFonts w:ascii="Times New Roman" w:hAnsi="Times New Roman" w:eastAsia="楷体"/>
                <w:kern w:val="0"/>
                <w:szCs w:val="21"/>
              </w:rPr>
              <w:br w:type="textWrapping"/>
            </w:r>
            <w:r>
              <w:rPr>
                <w:rFonts w:ascii="Times New Roman" w:hAnsi="Times New Roman" w:eastAsia="楷体"/>
                <w:kern w:val="0"/>
                <w:szCs w:val="21"/>
              </w:rPr>
              <w:t>1200151B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毛泽东思想与中国特色社会主义理论体系概论</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   1-12</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1200021B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马克思主义基本原理概论</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1200081B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中国近现代史纲要</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1200051B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思想道德修养与法律基础</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5200011B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军事理论</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5200021B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大学生心理健康</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0200051B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工程图学C</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1-12</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0621171B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化学工程与工艺专业导论</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1400211B 1400221B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高等数学A</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192</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192</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1000251B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大学物理C</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84</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80</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0213052B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MATLAB程序设计</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1400071B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线性代数</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1.-10</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0400062B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电工与电子技术B</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1400091B</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概率论与数理统计</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2"/>
          <w:wAfter w:w="220" w:type="dxa"/>
        </w:trPr>
        <w:tc>
          <w:tcPr>
            <w:tcW w:w="977" w:type="dxa"/>
            <w:gridSpan w:val="2"/>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49"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r>
        <w:tblPrEx>
          <w:tblLayout w:type="fixed"/>
          <w:tblCellMar>
            <w:top w:w="0" w:type="dxa"/>
            <w:left w:w="0" w:type="dxa"/>
            <w:bottom w:w="0" w:type="dxa"/>
            <w:right w:w="0" w:type="dxa"/>
          </w:tblCellMar>
        </w:tblPrEx>
        <w:trPr>
          <w:gridAfter w:val="2"/>
          <w:wAfter w:w="220" w:type="dxa"/>
        </w:trPr>
        <w:tc>
          <w:tcPr>
            <w:tcW w:w="1626" w:type="dxa"/>
            <w:gridSpan w:val="5"/>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合    计</w:t>
            </w:r>
          </w:p>
        </w:tc>
        <w:tc>
          <w:tcPr>
            <w:tcW w:w="41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33"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1116</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976</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20</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54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104</w:t>
            </w:r>
          </w:p>
        </w:tc>
        <w:tc>
          <w:tcPr>
            <w:tcW w:w="45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58</w:t>
            </w:r>
          </w:p>
        </w:tc>
        <w:tc>
          <w:tcPr>
            <w:tcW w:w="456"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17.25</w:t>
            </w:r>
          </w:p>
        </w:tc>
        <w:tc>
          <w:tcPr>
            <w:tcW w:w="634" w:type="dxa"/>
            <w:gridSpan w:val="4"/>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19.25</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63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15.75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4.75</w:t>
            </w:r>
          </w:p>
        </w:tc>
        <w:tc>
          <w:tcPr>
            <w:tcW w:w="412"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4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545"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411"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13"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08"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634" w:type="dxa"/>
            <w:gridSpan w:val="3"/>
            <w:tcBorders>
              <w:top w:val="single" w:color="auto" w:sz="6" w:space="0"/>
              <w:left w:val="single" w:color="auto" w:sz="6" w:space="0"/>
              <w:bottom w:val="single" w:color="auto" w:sz="6" w:space="0"/>
              <w:right w:val="single" w:color="auto" w:sz="6" w:space="0"/>
            </w:tcBorders>
            <w:shd w:val="clear" w:color="000000" w:fill="FFFFFF"/>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20" w:type="dxa"/>
            <w:gridSpan w:val="3"/>
            <w:tcBorders>
              <w:top w:val="single" w:color="auto" w:sz="6" w:space="0"/>
              <w:left w:val="single" w:color="auto" w:sz="6" w:space="0"/>
              <w:bottom w:val="single" w:color="auto" w:sz="6" w:space="0"/>
              <w:right w:val="single" w:color="auto" w:sz="6" w:space="0"/>
            </w:tcBorders>
            <w:shd w:val="clear" w:color="000000" w:fill="FFFFFF"/>
            <w:vAlign w:val="bottom"/>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r>
        <w:tblPrEx>
          <w:tblLayout w:type="fixed"/>
          <w:tblCellMar>
            <w:top w:w="0" w:type="dxa"/>
            <w:left w:w="0" w:type="dxa"/>
            <w:bottom w:w="0" w:type="dxa"/>
            <w:right w:w="0" w:type="dxa"/>
          </w:tblCellMar>
        </w:tblPrEx>
        <w:trPr>
          <w:gridAfter w:val="3"/>
          <w:wAfter w:w="328" w:type="dxa"/>
          <w:trHeight w:val="540" w:hRule="atLeast"/>
        </w:trPr>
        <w:tc>
          <w:tcPr>
            <w:tcW w:w="903" w:type="dxa"/>
            <w:tcBorders>
              <w:top w:val="single" w:color="auto" w:sz="6" w:space="0"/>
              <w:left w:val="nil"/>
              <w:bottom w:val="nil"/>
              <w:right w:val="nil"/>
            </w:tcBorders>
            <w:shd w:val="clear" w:color="000000" w:fill="FFFFFF"/>
            <w:vAlign w:val="center"/>
          </w:tcPr>
          <w:p>
            <w:pPr>
              <w:widowControl/>
              <w:jc w:val="center"/>
              <w:rPr>
                <w:rFonts w:ascii="Times New Roman" w:hAnsi="Times New Roman"/>
                <w:kern w:val="0"/>
                <w:szCs w:val="21"/>
              </w:rPr>
            </w:pPr>
            <w:r>
              <w:rPr>
                <w:rFonts w:ascii="Times New Roman" w:hAnsi="Times New Roman"/>
                <w:kern w:val="0"/>
                <w:szCs w:val="21"/>
              </w:rPr>
              <w:t>备注：</w:t>
            </w:r>
          </w:p>
        </w:tc>
        <w:tc>
          <w:tcPr>
            <w:tcW w:w="12730" w:type="dxa"/>
            <w:gridSpan w:val="73"/>
            <w:tcBorders>
              <w:top w:val="single" w:color="auto" w:sz="6" w:space="0"/>
              <w:left w:val="nil"/>
              <w:bottom w:val="nil"/>
              <w:right w:val="nil"/>
            </w:tcBorders>
            <w:shd w:val="clear" w:color="000000" w:fill="FFFFFF"/>
            <w:vAlign w:val="center"/>
          </w:tcPr>
          <w:p>
            <w:pPr>
              <w:widowControl/>
              <w:jc w:val="left"/>
              <w:rPr>
                <w:rFonts w:ascii="Times New Roman" w:hAnsi="Times New Roman"/>
                <w:kern w:val="0"/>
                <w:szCs w:val="21"/>
              </w:rPr>
            </w:pPr>
            <w:r>
              <w:rPr>
                <w:rFonts w:ascii="Times New Roman" w:hAnsi="Times New Roman"/>
                <w:kern w:val="0"/>
                <w:szCs w:val="21"/>
              </w:rPr>
              <w:t>总学时合计中不包括形式与政策的总学时，课外学时合计中不包括形式与政策、大学体育的课外学时。</w:t>
            </w:r>
          </w:p>
        </w:tc>
      </w:tr>
      <w:tr>
        <w:tblPrEx>
          <w:tblLayout w:type="fixed"/>
          <w:tblCellMar>
            <w:top w:w="0" w:type="dxa"/>
            <w:left w:w="0" w:type="dxa"/>
            <w:bottom w:w="0" w:type="dxa"/>
            <w:right w:w="0" w:type="dxa"/>
          </w:tblCellMar>
        </w:tblPrEx>
        <w:trPr>
          <w:gridAfter w:val="3"/>
          <w:wAfter w:w="328" w:type="dxa"/>
          <w:trHeight w:val="440" w:hRule="atLeast"/>
        </w:trPr>
        <w:tc>
          <w:tcPr>
            <w:tcW w:w="13633" w:type="dxa"/>
            <w:gridSpan w:val="74"/>
            <w:vMerge w:val="restart"/>
            <w:tcBorders>
              <w:top w:val="nil"/>
              <w:left w:val="nil"/>
              <w:bottom w:val="nil"/>
              <w:right w:val="nil"/>
            </w:tcBorders>
            <w:shd w:val="clear" w:color="000000" w:fill="FFFFFF"/>
            <w:vAlign w:val="center"/>
          </w:tcPr>
          <w:p>
            <w:pPr>
              <w:widowControl/>
              <w:spacing w:line="440" w:lineRule="exact"/>
              <w:jc w:val="center"/>
              <w:rPr>
                <w:rFonts w:ascii="Times New Roman" w:hAnsi="Times New Roman"/>
                <w:kern w:val="0"/>
                <w:szCs w:val="21"/>
              </w:rPr>
            </w:pPr>
            <w:r>
              <w:rPr>
                <w:rFonts w:ascii="Times New Roman" w:hAnsi="Times New Roman"/>
                <w:b/>
                <w:bCs/>
                <w:kern w:val="0"/>
                <w:szCs w:val="21"/>
              </w:rPr>
              <w:t>通  识  教  育   选   修   课</w:t>
            </w:r>
          </w:p>
        </w:tc>
      </w:tr>
      <w:tr>
        <w:tblPrEx>
          <w:tblLayout w:type="fixed"/>
          <w:tblCellMar>
            <w:top w:w="0" w:type="dxa"/>
            <w:left w:w="0" w:type="dxa"/>
            <w:bottom w:w="0" w:type="dxa"/>
            <w:right w:w="0" w:type="dxa"/>
          </w:tblCellMar>
        </w:tblPrEx>
        <w:trPr>
          <w:gridAfter w:val="3"/>
          <w:wAfter w:w="328" w:type="dxa"/>
          <w:trHeight w:val="312" w:hRule="atLeast"/>
        </w:trPr>
        <w:tc>
          <w:tcPr>
            <w:tcW w:w="13633" w:type="dxa"/>
            <w:gridSpan w:val="74"/>
            <w:vMerge w:val="continue"/>
            <w:tcBorders>
              <w:top w:val="nil"/>
              <w:left w:val="nil"/>
              <w:bottom w:val="nil"/>
              <w:right w:val="nil"/>
            </w:tcBorders>
            <w:vAlign w:val="center"/>
          </w:tcPr>
          <w:p>
            <w:pPr>
              <w:widowControl/>
              <w:jc w:val="left"/>
              <w:rPr>
                <w:rFonts w:ascii="Times New Roman" w:hAnsi="Times New Roman"/>
                <w:kern w:val="0"/>
                <w:szCs w:val="21"/>
              </w:rPr>
            </w:pPr>
          </w:p>
        </w:tc>
      </w:tr>
      <w:tr>
        <w:tblPrEx>
          <w:tblLayout w:type="fixed"/>
          <w:tblCellMar>
            <w:top w:w="0" w:type="dxa"/>
            <w:left w:w="0" w:type="dxa"/>
            <w:bottom w:w="0" w:type="dxa"/>
            <w:right w:w="0" w:type="dxa"/>
          </w:tblCellMar>
        </w:tblPrEx>
        <w:trPr>
          <w:gridAfter w:val="3"/>
          <w:wAfter w:w="328" w:type="dxa"/>
          <w:trHeight w:val="870" w:hRule="atLeast"/>
        </w:trPr>
        <w:tc>
          <w:tcPr>
            <w:tcW w:w="13633" w:type="dxa"/>
            <w:gridSpan w:val="74"/>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left"/>
              <w:rPr>
                <w:rFonts w:ascii="Times New Roman" w:hAnsi="Times New Roman"/>
                <w:kern w:val="0"/>
                <w:szCs w:val="21"/>
              </w:rPr>
            </w:pPr>
            <w:r>
              <w:rPr>
                <w:rFonts w:ascii="Times New Roman" w:hAnsi="Times New Roman"/>
                <w:kern w:val="0"/>
                <w:szCs w:val="21"/>
              </w:rPr>
              <w:t>我校通识教育选修课共分九类：哲学、历史与心理学类；文化、语言与文学类；经济、管理与法律类；自然、环境与科学类；信息、技术与工程类；艺术、体育与健康类；就业、创新与创业类；社会、交往与礼仪类；人生规划、品德与修养类。学生毕业时其通识教育选修课学分分布应不少于上述类别中的六类，且不低于9学分。</w:t>
            </w:r>
          </w:p>
        </w:tc>
      </w:tr>
      <w:tr>
        <w:tblPrEx>
          <w:tblLayout w:type="fixed"/>
          <w:tblCellMar>
            <w:top w:w="0" w:type="dxa"/>
            <w:left w:w="0" w:type="dxa"/>
            <w:bottom w:w="0" w:type="dxa"/>
            <w:right w:w="0" w:type="dxa"/>
          </w:tblCellMar>
        </w:tblPrEx>
        <w:tc>
          <w:tcPr>
            <w:tcW w:w="13961" w:type="dxa"/>
            <w:gridSpan w:val="77"/>
            <w:tcBorders>
              <w:top w:val="nil"/>
              <w:left w:val="nil"/>
              <w:bottom w:val="nil"/>
              <w:right w:val="nil"/>
            </w:tcBorders>
            <w:vAlign w:val="center"/>
          </w:tcPr>
          <w:p>
            <w:pPr>
              <w:widowControl/>
              <w:spacing w:line="440" w:lineRule="exact"/>
              <w:jc w:val="center"/>
              <w:rPr>
                <w:rFonts w:ascii="Times New Roman" w:hAnsi="Times New Roman"/>
                <w:b/>
                <w:bCs/>
                <w:kern w:val="0"/>
                <w:sz w:val="24"/>
                <w:szCs w:val="24"/>
              </w:rPr>
            </w:pPr>
            <w:r>
              <w:rPr>
                <w:rFonts w:ascii="Times New Roman" w:hAnsi="Times New Roman"/>
                <w:b/>
                <w:bCs/>
                <w:kern w:val="0"/>
                <w:sz w:val="24"/>
                <w:szCs w:val="24"/>
              </w:rPr>
              <w:t>合肥工业大学化学工程与工艺专业指导性教学计划</w:t>
            </w:r>
          </w:p>
        </w:tc>
      </w:tr>
      <w:tr>
        <w:tblPrEx>
          <w:tblLayout w:type="fixed"/>
          <w:tblCellMar>
            <w:top w:w="0" w:type="dxa"/>
            <w:left w:w="0" w:type="dxa"/>
            <w:bottom w:w="0" w:type="dxa"/>
            <w:right w:w="0" w:type="dxa"/>
          </w:tblCellMar>
        </w:tblPrEx>
        <w:tc>
          <w:tcPr>
            <w:tcW w:w="13961" w:type="dxa"/>
            <w:gridSpan w:val="77"/>
            <w:tcBorders>
              <w:top w:val="nil"/>
              <w:left w:val="nil"/>
              <w:bottom w:val="single" w:color="auto" w:sz="6" w:space="0"/>
              <w:right w:val="nil"/>
            </w:tcBorders>
            <w:vAlign w:val="center"/>
          </w:tcPr>
          <w:p>
            <w:pPr>
              <w:widowControl/>
              <w:spacing w:line="440" w:lineRule="exact"/>
              <w:jc w:val="center"/>
              <w:rPr>
                <w:rFonts w:ascii="Times New Roman" w:hAnsi="Times New Roman"/>
                <w:b/>
                <w:kern w:val="0"/>
                <w:sz w:val="24"/>
                <w:szCs w:val="24"/>
              </w:rPr>
            </w:pPr>
            <w:r>
              <w:rPr>
                <w:rFonts w:ascii="Times New Roman" w:hAnsi="Times New Roman"/>
                <w:b/>
                <w:kern w:val="0"/>
                <w:sz w:val="24"/>
                <w:szCs w:val="24"/>
              </w:rPr>
              <w:t>学科基础课程和专业必修课</w:t>
            </w:r>
          </w:p>
        </w:tc>
      </w:tr>
      <w:tr>
        <w:tblPrEx>
          <w:tblLayout w:type="fixed"/>
          <w:tblCellMar>
            <w:top w:w="0" w:type="dxa"/>
            <w:left w:w="0" w:type="dxa"/>
            <w:bottom w:w="0" w:type="dxa"/>
            <w:right w:w="0" w:type="dxa"/>
          </w:tblCellMar>
        </w:tblPrEx>
        <w:tc>
          <w:tcPr>
            <w:tcW w:w="1087" w:type="dxa"/>
            <w:gridSpan w:val="4"/>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课程编号</w:t>
            </w:r>
          </w:p>
        </w:tc>
        <w:tc>
          <w:tcPr>
            <w:tcW w:w="1711" w:type="dxa"/>
            <w:gridSpan w:val="5"/>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程    名   称</w:t>
            </w:r>
          </w:p>
        </w:tc>
        <w:tc>
          <w:tcPr>
            <w:tcW w:w="483"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是否专业主干课程</w:t>
            </w:r>
          </w:p>
        </w:tc>
        <w:tc>
          <w:tcPr>
            <w:tcW w:w="483"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考试方式</w:t>
            </w:r>
          </w:p>
        </w:tc>
        <w:tc>
          <w:tcPr>
            <w:tcW w:w="484"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总</w:t>
            </w:r>
            <w:r>
              <w:rPr>
                <w:rFonts w:ascii="Times New Roman" w:hAnsi="Times New Roman" w:eastAsia="楷体"/>
                <w:b/>
                <w:bCs/>
                <w:kern w:val="0"/>
                <w:szCs w:val="21"/>
              </w:rPr>
              <w:br w:type="textWrapping"/>
            </w:r>
            <w:r>
              <w:rPr>
                <w:rFonts w:ascii="Times New Roman" w:hAnsi="Times New Roman" w:eastAsia="楷体"/>
                <w:b/>
                <w:bCs/>
                <w:kern w:val="0"/>
                <w:szCs w:val="21"/>
              </w:rPr>
              <w:t>学</w:t>
            </w:r>
            <w:r>
              <w:rPr>
                <w:rFonts w:ascii="Times New Roman" w:hAnsi="Times New Roman" w:eastAsia="楷体"/>
                <w:b/>
                <w:bCs/>
                <w:kern w:val="0"/>
                <w:szCs w:val="21"/>
              </w:rPr>
              <w:br w:type="textWrapping"/>
            </w:r>
            <w:r>
              <w:rPr>
                <w:rFonts w:ascii="Times New Roman" w:hAnsi="Times New Roman" w:eastAsia="楷体"/>
                <w:b/>
                <w:bCs/>
                <w:kern w:val="0"/>
                <w:szCs w:val="21"/>
              </w:rPr>
              <w:t>时</w:t>
            </w:r>
          </w:p>
        </w:tc>
        <w:tc>
          <w:tcPr>
            <w:tcW w:w="1930" w:type="dxa"/>
            <w:gridSpan w:val="1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学时分配</w:t>
            </w:r>
          </w:p>
        </w:tc>
        <w:tc>
          <w:tcPr>
            <w:tcW w:w="482"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内   学   分</w:t>
            </w:r>
          </w:p>
        </w:tc>
        <w:tc>
          <w:tcPr>
            <w:tcW w:w="483"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外   学   分</w:t>
            </w:r>
          </w:p>
        </w:tc>
        <w:tc>
          <w:tcPr>
            <w:tcW w:w="5790" w:type="dxa"/>
            <w:gridSpan w:val="36"/>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各学期学分分配</w:t>
            </w:r>
          </w:p>
        </w:tc>
        <w:tc>
          <w:tcPr>
            <w:tcW w:w="546"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建议起止周次</w:t>
            </w:r>
          </w:p>
        </w:tc>
        <w:tc>
          <w:tcPr>
            <w:tcW w:w="482" w:type="dxa"/>
            <w:gridSpan w:val="4"/>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是否集中周考试</w:t>
            </w:r>
          </w:p>
        </w:tc>
      </w:tr>
      <w:tr>
        <w:tblPrEx>
          <w:tblLayout w:type="fixed"/>
          <w:tblCellMar>
            <w:top w:w="0" w:type="dxa"/>
            <w:left w:w="0" w:type="dxa"/>
            <w:bottom w:w="0" w:type="dxa"/>
            <w:right w:w="0" w:type="dxa"/>
          </w:tblCellMar>
        </w:tblPrEx>
        <w:tc>
          <w:tcPr>
            <w:tcW w:w="1087" w:type="dxa"/>
            <w:gridSpan w:val="4"/>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711" w:type="dxa"/>
            <w:gridSpan w:val="5"/>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83"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83"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84"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课内</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实</w:t>
            </w:r>
            <w:r>
              <w:rPr>
                <w:rFonts w:ascii="Times New Roman" w:hAnsi="Times New Roman" w:eastAsia="楷体"/>
                <w:b/>
                <w:bCs/>
                <w:kern w:val="0"/>
                <w:szCs w:val="21"/>
              </w:rPr>
              <w:br w:type="textWrapping"/>
            </w:r>
            <w:r>
              <w:rPr>
                <w:rFonts w:ascii="Times New Roman" w:hAnsi="Times New Roman" w:eastAsia="楷体"/>
                <w:b/>
                <w:bCs/>
                <w:kern w:val="0"/>
                <w:szCs w:val="21"/>
              </w:rPr>
              <w:t>验</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上</w:t>
            </w:r>
            <w:r>
              <w:rPr>
                <w:rFonts w:ascii="Times New Roman" w:hAnsi="Times New Roman" w:eastAsia="楷体"/>
                <w:b/>
                <w:bCs/>
                <w:kern w:val="0"/>
                <w:szCs w:val="21"/>
              </w:rPr>
              <w:br w:type="textWrapping"/>
            </w:r>
            <w:r>
              <w:rPr>
                <w:rFonts w:ascii="Times New Roman" w:hAnsi="Times New Roman" w:eastAsia="楷体"/>
                <w:b/>
                <w:bCs/>
                <w:kern w:val="0"/>
                <w:szCs w:val="21"/>
              </w:rPr>
              <w:t>机</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课外</w:t>
            </w:r>
          </w:p>
        </w:tc>
        <w:tc>
          <w:tcPr>
            <w:tcW w:w="482"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b/>
                <w:bCs/>
                <w:kern w:val="0"/>
                <w:szCs w:val="21"/>
              </w:rPr>
            </w:pPr>
          </w:p>
        </w:tc>
        <w:tc>
          <w:tcPr>
            <w:tcW w:w="483"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b/>
                <w:bCs/>
                <w:kern w:val="0"/>
                <w:szCs w:val="21"/>
              </w:rPr>
            </w:pP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1</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3</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5</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7</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8</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546"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82" w:type="dxa"/>
            <w:gridSpan w:val="4"/>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xml:space="preserve">0600012B </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无机化学</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64</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0600172B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分析化学B</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1-10</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0600602B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有机化学</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0600182B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物理化学</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0601052B  0601062B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化工原理A</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96</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5-19  1-12</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0620662B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化工热力学</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1-10</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0621082B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化工设备机械基础</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0621162B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化工过程分析与合成</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0620672B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化工安全与环保技术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0620702B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化工设计★</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0620712B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化学反应工程</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5-19</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0600722B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化工仪表及自动化</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0621092B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化学工艺学</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4-13</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1087"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0621262B</w:t>
            </w:r>
          </w:p>
        </w:tc>
        <w:tc>
          <w:tcPr>
            <w:tcW w:w="1711"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化工分离工程</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4-13</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c>
          <w:tcPr>
            <w:tcW w:w="3764" w:type="dxa"/>
            <w:gridSpan w:val="1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合    计</w:t>
            </w:r>
          </w:p>
        </w:tc>
        <w:tc>
          <w:tcPr>
            <w:tcW w:w="484"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744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720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2"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46</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11.5</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4.5</w:t>
            </w:r>
          </w:p>
        </w:tc>
        <w:tc>
          <w:tcPr>
            <w:tcW w:w="483"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82"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46"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82" w:type="dxa"/>
            <w:gridSpan w:val="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r>
        <w:tblPrEx>
          <w:tblLayout w:type="fixed"/>
          <w:tblCellMar>
            <w:top w:w="0" w:type="dxa"/>
            <w:left w:w="0" w:type="dxa"/>
            <w:bottom w:w="0" w:type="dxa"/>
            <w:right w:w="0" w:type="dxa"/>
          </w:tblCellMar>
        </w:tblPrEx>
        <w:tc>
          <w:tcPr>
            <w:tcW w:w="13961" w:type="dxa"/>
            <w:gridSpan w:val="77"/>
            <w:tcBorders>
              <w:top w:val="nil"/>
              <w:left w:val="nil"/>
              <w:bottom w:val="nil"/>
              <w:right w:val="nil"/>
            </w:tcBorders>
            <w:vAlign w:val="center"/>
          </w:tcPr>
          <w:p>
            <w:pPr>
              <w:widowControl/>
              <w:spacing w:line="440" w:lineRule="exact"/>
              <w:jc w:val="center"/>
              <w:rPr>
                <w:rFonts w:ascii="Times New Roman" w:hAnsi="Times New Roman"/>
                <w:b/>
                <w:bCs/>
                <w:kern w:val="0"/>
                <w:sz w:val="24"/>
                <w:szCs w:val="24"/>
              </w:rPr>
            </w:pPr>
            <w:r>
              <w:rPr>
                <w:rFonts w:ascii="Times New Roman" w:hAnsi="Times New Roman"/>
                <w:b/>
                <w:bCs/>
                <w:kern w:val="0"/>
                <w:sz w:val="24"/>
                <w:szCs w:val="24"/>
              </w:rPr>
              <w:t>合肥工业大学化学工程与工艺专业指导性教学计划</w:t>
            </w:r>
          </w:p>
        </w:tc>
      </w:tr>
      <w:tr>
        <w:tblPrEx>
          <w:tblLayout w:type="fixed"/>
          <w:tblCellMar>
            <w:top w:w="0" w:type="dxa"/>
            <w:left w:w="0" w:type="dxa"/>
            <w:bottom w:w="0" w:type="dxa"/>
            <w:right w:w="0" w:type="dxa"/>
          </w:tblCellMar>
        </w:tblPrEx>
        <w:tc>
          <w:tcPr>
            <w:tcW w:w="13961" w:type="dxa"/>
            <w:gridSpan w:val="77"/>
            <w:tcBorders>
              <w:top w:val="nil"/>
              <w:left w:val="nil"/>
              <w:bottom w:val="single" w:color="auto" w:sz="6" w:space="0"/>
              <w:right w:val="nil"/>
            </w:tcBorders>
            <w:vAlign w:val="center"/>
          </w:tcPr>
          <w:p>
            <w:pPr>
              <w:widowControl/>
              <w:spacing w:line="440" w:lineRule="exact"/>
              <w:jc w:val="center"/>
              <w:rPr>
                <w:rFonts w:ascii="Times New Roman" w:hAnsi="Times New Roman"/>
                <w:b/>
                <w:kern w:val="0"/>
                <w:sz w:val="24"/>
                <w:szCs w:val="24"/>
              </w:rPr>
            </w:pPr>
            <w:r>
              <w:rPr>
                <w:rFonts w:ascii="Times New Roman" w:hAnsi="Times New Roman"/>
                <w:b/>
                <w:kern w:val="0"/>
                <w:sz w:val="24"/>
                <w:szCs w:val="24"/>
              </w:rPr>
              <w:t>专业选修课</w:t>
            </w:r>
          </w:p>
        </w:tc>
      </w:tr>
      <w:tr>
        <w:tblPrEx>
          <w:tblLayout w:type="fixed"/>
          <w:tblCellMar>
            <w:top w:w="0" w:type="dxa"/>
            <w:left w:w="0" w:type="dxa"/>
            <w:bottom w:w="0" w:type="dxa"/>
            <w:right w:w="0" w:type="dxa"/>
          </w:tblCellMar>
        </w:tblPrEx>
        <w:trPr>
          <w:trHeight w:val="498" w:hRule="atLeast"/>
        </w:trPr>
        <w:tc>
          <w:tcPr>
            <w:tcW w:w="1077"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课程编号</w:t>
            </w:r>
          </w:p>
        </w:tc>
        <w:tc>
          <w:tcPr>
            <w:tcW w:w="1695" w:type="dxa"/>
            <w:gridSpan w:val="5"/>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程    名   称</w:t>
            </w:r>
          </w:p>
        </w:tc>
        <w:tc>
          <w:tcPr>
            <w:tcW w:w="478"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是否专业主干课程</w:t>
            </w:r>
          </w:p>
        </w:tc>
        <w:tc>
          <w:tcPr>
            <w:tcW w:w="479"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考试方式</w:t>
            </w:r>
          </w:p>
        </w:tc>
        <w:tc>
          <w:tcPr>
            <w:tcW w:w="479"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总</w:t>
            </w:r>
            <w:r>
              <w:rPr>
                <w:rFonts w:ascii="Times New Roman" w:hAnsi="Times New Roman" w:eastAsia="楷体"/>
                <w:b/>
                <w:bCs/>
                <w:kern w:val="0"/>
                <w:szCs w:val="21"/>
              </w:rPr>
              <w:br w:type="textWrapping"/>
            </w:r>
            <w:r>
              <w:rPr>
                <w:rFonts w:ascii="Times New Roman" w:hAnsi="Times New Roman" w:eastAsia="楷体"/>
                <w:b/>
                <w:bCs/>
                <w:kern w:val="0"/>
                <w:szCs w:val="21"/>
              </w:rPr>
              <w:t>学</w:t>
            </w:r>
            <w:r>
              <w:rPr>
                <w:rFonts w:ascii="Times New Roman" w:hAnsi="Times New Roman" w:eastAsia="楷体"/>
                <w:b/>
                <w:bCs/>
                <w:kern w:val="0"/>
                <w:szCs w:val="21"/>
              </w:rPr>
              <w:br w:type="textWrapping"/>
            </w:r>
            <w:r>
              <w:rPr>
                <w:rFonts w:ascii="Times New Roman" w:hAnsi="Times New Roman" w:eastAsia="楷体"/>
                <w:b/>
                <w:bCs/>
                <w:kern w:val="0"/>
                <w:szCs w:val="21"/>
              </w:rPr>
              <w:t>时</w:t>
            </w:r>
          </w:p>
        </w:tc>
        <w:tc>
          <w:tcPr>
            <w:tcW w:w="1914" w:type="dxa"/>
            <w:gridSpan w:val="11"/>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学时分配</w:t>
            </w:r>
          </w:p>
        </w:tc>
        <w:tc>
          <w:tcPr>
            <w:tcW w:w="478"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内   学   分</w:t>
            </w:r>
          </w:p>
        </w:tc>
        <w:tc>
          <w:tcPr>
            <w:tcW w:w="479"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   外   学   分</w:t>
            </w:r>
          </w:p>
        </w:tc>
        <w:tc>
          <w:tcPr>
            <w:tcW w:w="5743" w:type="dxa"/>
            <w:gridSpan w:val="36"/>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各学期学分分配</w:t>
            </w:r>
          </w:p>
        </w:tc>
        <w:tc>
          <w:tcPr>
            <w:tcW w:w="657"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建议起止周次</w:t>
            </w:r>
          </w:p>
        </w:tc>
        <w:tc>
          <w:tcPr>
            <w:tcW w:w="482" w:type="dxa"/>
            <w:gridSpan w:val="4"/>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是否集中周考试</w:t>
            </w:r>
          </w:p>
        </w:tc>
      </w:tr>
      <w:tr>
        <w:tblPrEx>
          <w:tblLayout w:type="fixed"/>
          <w:tblCellMar>
            <w:top w:w="0" w:type="dxa"/>
            <w:left w:w="0" w:type="dxa"/>
            <w:bottom w:w="0" w:type="dxa"/>
            <w:right w:w="0" w:type="dxa"/>
          </w:tblCellMar>
        </w:tblPrEx>
        <w:trPr>
          <w:gridAfter w:val="1"/>
          <w:wAfter w:w="3" w:type="dxa"/>
          <w:trHeight w:val="498" w:hRule="atLeast"/>
        </w:trPr>
        <w:tc>
          <w:tcPr>
            <w:tcW w:w="1077"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695" w:type="dxa"/>
            <w:gridSpan w:val="5"/>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78"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课内</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实</w:t>
            </w:r>
            <w:r>
              <w:rPr>
                <w:rFonts w:ascii="Times New Roman" w:hAnsi="Times New Roman" w:eastAsia="楷体"/>
                <w:b/>
                <w:bCs/>
                <w:kern w:val="0"/>
                <w:szCs w:val="21"/>
              </w:rPr>
              <w:br w:type="textWrapping"/>
            </w:r>
            <w:r>
              <w:rPr>
                <w:rFonts w:ascii="Times New Roman" w:hAnsi="Times New Roman" w:eastAsia="楷体"/>
                <w:b/>
                <w:bCs/>
                <w:kern w:val="0"/>
                <w:szCs w:val="21"/>
              </w:rPr>
              <w:t>验</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上</w:t>
            </w:r>
            <w:r>
              <w:rPr>
                <w:rFonts w:ascii="Times New Roman" w:hAnsi="Times New Roman" w:eastAsia="楷体"/>
                <w:b/>
                <w:bCs/>
                <w:kern w:val="0"/>
                <w:szCs w:val="21"/>
              </w:rPr>
              <w:br w:type="textWrapping"/>
            </w:r>
            <w:r>
              <w:rPr>
                <w:rFonts w:ascii="Times New Roman" w:hAnsi="Times New Roman" w:eastAsia="楷体"/>
                <w:b/>
                <w:bCs/>
                <w:kern w:val="0"/>
                <w:szCs w:val="21"/>
              </w:rPr>
              <w:t>机</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课外</w:t>
            </w:r>
          </w:p>
        </w:tc>
        <w:tc>
          <w:tcPr>
            <w:tcW w:w="478"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b/>
                <w:bCs/>
                <w:kern w:val="0"/>
                <w:szCs w:val="21"/>
              </w:rPr>
            </w:pP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b/>
                <w:bCs/>
                <w:kern w:val="0"/>
                <w:szCs w:val="21"/>
              </w:rPr>
            </w:pP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1</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3</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6</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7</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8</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657"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0621110X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现代仪器分析</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0600460X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科技文献检索与利用</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0620810X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煤化学</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0620870X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专业英语</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xml:space="preserve">0620880X </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新能源材料</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11-19</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0600820X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无机合成与制备技术</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9-19</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0620900X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化工技术经济</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0620830X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精细有机合成</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0620750X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化工传递过程</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11-19</w:t>
            </w:r>
          </w:p>
        </w:tc>
        <w:tc>
          <w:tcPr>
            <w:tcW w:w="479"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是-化学工程</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0621140X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过程工程导论(双语）</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0621270X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化工过程模拟</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4-12</w:t>
            </w: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0620780X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煤化工工艺学</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11-19</w:t>
            </w:r>
          </w:p>
        </w:tc>
        <w:tc>
          <w:tcPr>
            <w:tcW w:w="479"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是-化学工艺</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0621420X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精细化工工艺学</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0620790X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无机化工工艺学</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4-9</w:t>
            </w:r>
          </w:p>
        </w:tc>
        <w:tc>
          <w:tcPr>
            <w:tcW w:w="479"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0620890X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绿色化学与化工</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0600590X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有机合成（英文）</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32</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5-10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是</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0621130X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化工生产与经营管理★</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4-9</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0620920X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化工前沿技术与发展★</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4-9</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r>
      <w:tr>
        <w:tblPrEx>
          <w:tblLayout w:type="fixed"/>
          <w:tblCellMar>
            <w:top w:w="0" w:type="dxa"/>
            <w:left w:w="0" w:type="dxa"/>
            <w:bottom w:w="0" w:type="dxa"/>
            <w:right w:w="0" w:type="dxa"/>
          </w:tblCellMar>
        </w:tblPrEx>
        <w:trPr>
          <w:gridAfter w:val="1"/>
          <w:wAfter w:w="3" w:type="dxa"/>
          <w:trHeight w:val="397" w:hRule="atLeast"/>
        </w:trPr>
        <w:tc>
          <w:tcPr>
            <w:tcW w:w="107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0620930X</w:t>
            </w:r>
          </w:p>
        </w:tc>
        <w:tc>
          <w:tcPr>
            <w:tcW w:w="1695" w:type="dxa"/>
            <w:gridSpan w:val="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新型功能肥料</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4-9</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否</w:t>
            </w:r>
          </w:p>
        </w:tc>
      </w:tr>
      <w:tr>
        <w:tblPrEx>
          <w:tblLayout w:type="fixed"/>
          <w:tblCellMar>
            <w:top w:w="0" w:type="dxa"/>
            <w:left w:w="0" w:type="dxa"/>
            <w:bottom w:w="0" w:type="dxa"/>
            <w:right w:w="0" w:type="dxa"/>
          </w:tblCellMar>
        </w:tblPrEx>
        <w:trPr>
          <w:gridAfter w:val="1"/>
          <w:wAfter w:w="3" w:type="dxa"/>
          <w:trHeight w:val="397" w:hRule="atLeast"/>
        </w:trPr>
        <w:tc>
          <w:tcPr>
            <w:tcW w:w="3729" w:type="dxa"/>
            <w:gridSpan w:val="1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合    计</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540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528</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r>
        <w:tblPrEx>
          <w:tblLayout w:type="fixed"/>
          <w:tblCellMar>
            <w:top w:w="0" w:type="dxa"/>
            <w:left w:w="0" w:type="dxa"/>
            <w:bottom w:w="0" w:type="dxa"/>
            <w:right w:w="0" w:type="dxa"/>
          </w:tblCellMar>
        </w:tblPrEx>
        <w:trPr>
          <w:gridAfter w:val="1"/>
          <w:wAfter w:w="3" w:type="dxa"/>
          <w:trHeight w:val="397" w:hRule="atLeast"/>
        </w:trPr>
        <w:tc>
          <w:tcPr>
            <w:tcW w:w="3729" w:type="dxa"/>
            <w:gridSpan w:val="14"/>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最低专业选修课程合计</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478"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657"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479"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bl>
    <w:p>
      <w:pPr>
        <w:rPr>
          <w:rFonts w:ascii="Times New Roman" w:hAnsi="Times New Roman"/>
          <w:szCs w:val="21"/>
        </w:rPr>
      </w:pPr>
    </w:p>
    <w:tbl>
      <w:tblPr>
        <w:tblStyle w:val="49"/>
        <w:tblW w:w="14175" w:type="dxa"/>
        <w:tblInd w:w="0" w:type="dxa"/>
        <w:tblLayout w:type="fixed"/>
        <w:tblCellMar>
          <w:top w:w="0" w:type="dxa"/>
          <w:left w:w="0" w:type="dxa"/>
          <w:bottom w:w="0" w:type="dxa"/>
          <w:right w:w="0" w:type="dxa"/>
        </w:tblCellMar>
      </w:tblPr>
      <w:tblGrid>
        <w:gridCol w:w="1299"/>
        <w:gridCol w:w="2189"/>
        <w:gridCol w:w="577"/>
        <w:gridCol w:w="577"/>
        <w:gridCol w:w="577"/>
        <w:gridCol w:w="577"/>
        <w:gridCol w:w="577"/>
        <w:gridCol w:w="578"/>
        <w:gridCol w:w="578"/>
        <w:gridCol w:w="578"/>
        <w:gridCol w:w="578"/>
        <w:gridCol w:w="578"/>
        <w:gridCol w:w="578"/>
        <w:gridCol w:w="578"/>
        <w:gridCol w:w="578"/>
        <w:gridCol w:w="578"/>
        <w:gridCol w:w="578"/>
        <w:gridCol w:w="578"/>
        <w:gridCol w:w="578"/>
        <w:gridCol w:w="866"/>
      </w:tblGrid>
      <w:tr>
        <w:tblPrEx>
          <w:tblLayout w:type="fixed"/>
          <w:tblCellMar>
            <w:top w:w="0" w:type="dxa"/>
            <w:left w:w="0" w:type="dxa"/>
            <w:bottom w:w="0" w:type="dxa"/>
            <w:right w:w="0" w:type="dxa"/>
          </w:tblCellMar>
        </w:tblPrEx>
        <w:tc>
          <w:tcPr>
            <w:tcW w:w="14175" w:type="dxa"/>
            <w:gridSpan w:val="20"/>
            <w:tcBorders>
              <w:top w:val="nil"/>
              <w:left w:val="nil"/>
              <w:bottom w:val="nil"/>
              <w:right w:val="nil"/>
            </w:tcBorders>
            <w:vAlign w:val="center"/>
          </w:tcPr>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p>
          <w:p>
            <w:pPr>
              <w:widowControl/>
              <w:spacing w:line="440" w:lineRule="exact"/>
              <w:jc w:val="center"/>
              <w:rPr>
                <w:rFonts w:ascii="Times New Roman" w:hAnsi="Times New Roman"/>
                <w:b/>
                <w:kern w:val="0"/>
                <w:sz w:val="24"/>
                <w:szCs w:val="24"/>
              </w:rPr>
            </w:pPr>
            <w:r>
              <w:rPr>
                <w:rFonts w:ascii="Times New Roman" w:hAnsi="Times New Roman"/>
                <w:b/>
                <w:kern w:val="0"/>
                <w:sz w:val="24"/>
                <w:szCs w:val="24"/>
              </w:rPr>
              <w:t>合肥工业大学 化学工程与工艺 专业指导性教学计划</w:t>
            </w:r>
          </w:p>
        </w:tc>
      </w:tr>
      <w:tr>
        <w:tblPrEx>
          <w:tblLayout w:type="fixed"/>
          <w:tblCellMar>
            <w:top w:w="0" w:type="dxa"/>
            <w:left w:w="0" w:type="dxa"/>
            <w:bottom w:w="0" w:type="dxa"/>
            <w:right w:w="0" w:type="dxa"/>
          </w:tblCellMar>
        </w:tblPrEx>
        <w:tc>
          <w:tcPr>
            <w:tcW w:w="14175" w:type="dxa"/>
            <w:gridSpan w:val="20"/>
            <w:tcBorders>
              <w:top w:val="nil"/>
              <w:left w:val="nil"/>
              <w:bottom w:val="single" w:color="auto" w:sz="6" w:space="0"/>
              <w:right w:val="nil"/>
            </w:tcBorders>
            <w:vAlign w:val="center"/>
          </w:tcPr>
          <w:p>
            <w:pPr>
              <w:widowControl/>
              <w:spacing w:line="440" w:lineRule="exact"/>
              <w:jc w:val="center"/>
              <w:rPr>
                <w:rFonts w:ascii="Times New Roman" w:hAnsi="Times New Roman"/>
                <w:b/>
                <w:kern w:val="0"/>
                <w:sz w:val="24"/>
                <w:szCs w:val="24"/>
              </w:rPr>
            </w:pPr>
            <w:r>
              <w:rPr>
                <w:rFonts w:ascii="Times New Roman" w:hAnsi="Times New Roman"/>
                <w:b/>
                <w:kern w:val="0"/>
                <w:sz w:val="24"/>
                <w:szCs w:val="24"/>
              </w:rPr>
              <w:t>集中安排的实践环节</w:t>
            </w:r>
          </w:p>
        </w:tc>
      </w:tr>
      <w:tr>
        <w:tblPrEx>
          <w:tblLayout w:type="fixed"/>
          <w:tblCellMar>
            <w:top w:w="0" w:type="dxa"/>
            <w:left w:w="0" w:type="dxa"/>
            <w:bottom w:w="0" w:type="dxa"/>
            <w:right w:w="0" w:type="dxa"/>
          </w:tblCellMar>
        </w:tblPrEx>
        <w:tc>
          <w:tcPr>
            <w:tcW w:w="1299"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课程</w:t>
            </w:r>
            <w:r>
              <w:rPr>
                <w:rFonts w:ascii="Times New Roman" w:hAnsi="Times New Roman" w:eastAsia="楷体"/>
                <w:b/>
                <w:bCs/>
                <w:kern w:val="0"/>
                <w:szCs w:val="21"/>
              </w:rPr>
              <w:br w:type="textWrapping"/>
            </w:r>
            <w:r>
              <w:rPr>
                <w:rFonts w:ascii="Times New Roman" w:hAnsi="Times New Roman" w:eastAsia="楷体"/>
                <w:b/>
                <w:bCs/>
                <w:kern w:val="0"/>
                <w:szCs w:val="21"/>
              </w:rPr>
              <w:t>编号</w:t>
            </w:r>
          </w:p>
        </w:tc>
        <w:tc>
          <w:tcPr>
            <w:tcW w:w="2189"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实践环节名称</w:t>
            </w:r>
          </w:p>
        </w:tc>
        <w:tc>
          <w:tcPr>
            <w:tcW w:w="577"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考试方式</w:t>
            </w:r>
          </w:p>
        </w:tc>
        <w:tc>
          <w:tcPr>
            <w:tcW w:w="577"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周</w:t>
            </w:r>
            <w:r>
              <w:rPr>
                <w:rFonts w:ascii="Times New Roman" w:hAnsi="Times New Roman" w:eastAsia="楷体"/>
                <w:b/>
                <w:bCs/>
                <w:kern w:val="0"/>
                <w:szCs w:val="21"/>
              </w:rPr>
              <w:br w:type="textWrapping"/>
            </w:r>
            <w:r>
              <w:rPr>
                <w:rFonts w:ascii="Times New Roman" w:hAnsi="Times New Roman" w:eastAsia="楷体"/>
                <w:b/>
                <w:bCs/>
                <w:kern w:val="0"/>
                <w:szCs w:val="21"/>
              </w:rPr>
              <w:t>数</w:t>
            </w:r>
          </w:p>
        </w:tc>
        <w:tc>
          <w:tcPr>
            <w:tcW w:w="577"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实 验 时 数</w:t>
            </w:r>
          </w:p>
        </w:tc>
        <w:tc>
          <w:tcPr>
            <w:tcW w:w="577"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上机时数</w:t>
            </w:r>
          </w:p>
        </w:tc>
        <w:tc>
          <w:tcPr>
            <w:tcW w:w="577"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学分</w:t>
            </w:r>
          </w:p>
        </w:tc>
        <w:tc>
          <w:tcPr>
            <w:tcW w:w="6936" w:type="dxa"/>
            <w:gridSpan w:val="1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各学期学分分配</w:t>
            </w:r>
          </w:p>
        </w:tc>
        <w:tc>
          <w:tcPr>
            <w:tcW w:w="86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建议起止周次</w:t>
            </w:r>
          </w:p>
        </w:tc>
      </w:tr>
      <w:tr>
        <w:tblPrEx>
          <w:tblLayout w:type="fixed"/>
          <w:tblCellMar>
            <w:top w:w="0" w:type="dxa"/>
            <w:left w:w="0" w:type="dxa"/>
            <w:bottom w:w="0" w:type="dxa"/>
            <w:right w:w="0" w:type="dxa"/>
          </w:tblCellMar>
        </w:tblPrEx>
        <w:tc>
          <w:tcPr>
            <w:tcW w:w="1299"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2189"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7"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7"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7"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7"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7"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4</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6</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7</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8</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86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5700013B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入学教育</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5200023B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军事训练</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5700023B</w:t>
            </w:r>
            <w:r>
              <w:rPr>
                <w:rFonts w:ascii="Times New Roman" w:hAnsi="Times New Roman" w:eastAsia="楷体"/>
                <w:kern w:val="0"/>
                <w:szCs w:val="21"/>
              </w:rPr>
              <w:br w:type="textWrapping"/>
            </w:r>
            <w:r>
              <w:rPr>
                <w:rFonts w:ascii="Times New Roman" w:hAnsi="Times New Roman" w:eastAsia="楷体"/>
                <w:kern w:val="0"/>
                <w:szCs w:val="21"/>
              </w:rPr>
              <w:t>5700033B</w:t>
            </w:r>
            <w:r>
              <w:rPr>
                <w:rFonts w:ascii="Times New Roman" w:hAnsi="Times New Roman" w:eastAsia="楷体"/>
                <w:kern w:val="0"/>
                <w:szCs w:val="21"/>
              </w:rPr>
              <w:br w:type="textWrapping"/>
            </w:r>
            <w:r>
              <w:rPr>
                <w:rFonts w:ascii="Times New Roman" w:hAnsi="Times New Roman" w:eastAsia="楷体"/>
                <w:kern w:val="0"/>
                <w:szCs w:val="21"/>
              </w:rPr>
              <w:t>5700043B</w:t>
            </w:r>
            <w:r>
              <w:rPr>
                <w:rFonts w:ascii="Times New Roman" w:hAnsi="Times New Roman" w:eastAsia="楷体"/>
                <w:kern w:val="0"/>
                <w:szCs w:val="21"/>
              </w:rPr>
              <w:br w:type="textWrapping"/>
            </w:r>
            <w:r>
              <w:rPr>
                <w:rFonts w:ascii="Times New Roman" w:hAnsi="Times New Roman" w:eastAsia="楷体"/>
                <w:kern w:val="0"/>
                <w:szCs w:val="21"/>
              </w:rPr>
              <w:t>5700053B</w:t>
            </w:r>
            <w:r>
              <w:rPr>
                <w:rFonts w:ascii="Times New Roman" w:hAnsi="Times New Roman" w:eastAsia="楷体"/>
                <w:kern w:val="0"/>
                <w:szCs w:val="21"/>
              </w:rPr>
              <w:br w:type="textWrapping"/>
            </w:r>
            <w:r>
              <w:rPr>
                <w:rFonts w:ascii="Times New Roman" w:hAnsi="Times New Roman" w:eastAsia="楷体"/>
                <w:kern w:val="0"/>
                <w:szCs w:val="21"/>
              </w:rPr>
              <w:t>5700063B</w:t>
            </w:r>
            <w:r>
              <w:rPr>
                <w:rFonts w:ascii="Times New Roman" w:hAnsi="Times New Roman" w:eastAsia="楷体"/>
                <w:kern w:val="0"/>
                <w:szCs w:val="21"/>
              </w:rPr>
              <w:br w:type="textWrapping"/>
            </w:r>
            <w:r>
              <w:rPr>
                <w:rFonts w:ascii="Times New Roman" w:hAnsi="Times New Roman" w:eastAsia="楷体"/>
                <w:kern w:val="0"/>
                <w:szCs w:val="21"/>
              </w:rPr>
              <w:t>5700073B</w:t>
            </w:r>
            <w:r>
              <w:rPr>
                <w:rFonts w:ascii="Times New Roman" w:hAnsi="Times New Roman" w:eastAsia="楷体"/>
                <w:kern w:val="0"/>
                <w:szCs w:val="21"/>
              </w:rPr>
              <w:br w:type="textWrapping"/>
            </w:r>
            <w:r>
              <w:rPr>
                <w:rFonts w:ascii="Times New Roman" w:hAnsi="Times New Roman" w:eastAsia="楷体"/>
                <w:kern w:val="0"/>
                <w:szCs w:val="21"/>
              </w:rPr>
              <w:t>5700083B</w:t>
            </w:r>
            <w:r>
              <w:rPr>
                <w:rFonts w:ascii="Times New Roman" w:hAnsi="Times New Roman" w:eastAsia="楷体"/>
                <w:kern w:val="0"/>
                <w:szCs w:val="21"/>
              </w:rPr>
              <w:br w:type="textWrapping"/>
            </w:r>
            <w:r>
              <w:rPr>
                <w:rFonts w:ascii="Times New Roman" w:hAnsi="Times New Roman" w:eastAsia="楷体"/>
                <w:kern w:val="0"/>
                <w:szCs w:val="21"/>
              </w:rPr>
              <w:t>5700093B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公益活动</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分散</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5600013B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就业指导</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8学时</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分散</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0601584B  0601594B    0601604B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创新创业教育</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5300033B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工程训练C</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0600192B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基础化学实验1</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0600202B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基础化学实验2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0600023B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分析化学综合实验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0600212B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基础化学实验3</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36</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xml:space="preserve">1000013B 1000023B </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大学物理实验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0600222B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基础化学实验4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36</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0600013B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有机化学综合实验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0621443B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认识实习</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0601073B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化工原理实验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穿插</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0621003B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生产实习★</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　</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0620983B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化工实习实训A★</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3-4　</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0600993B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化工原理课程设计A</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17-19</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0621153B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化工综合创新实验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分散</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0620742B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化学工程与工艺专业实验</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48</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分散</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0621433B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毕业实习★</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1-2　</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0621023B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化工工艺专业课程设计★</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1-3</w:t>
            </w:r>
          </w:p>
        </w:tc>
      </w:tr>
      <w:tr>
        <w:tblPrEx>
          <w:tblLayout w:type="fixed"/>
          <w:tblCellMar>
            <w:top w:w="0" w:type="dxa"/>
            <w:left w:w="0" w:type="dxa"/>
            <w:bottom w:w="0" w:type="dxa"/>
            <w:right w:w="0" w:type="dxa"/>
          </w:tblCellMar>
        </w:tblPrEx>
        <w:tc>
          <w:tcPr>
            <w:tcW w:w="129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0621033B</w:t>
            </w:r>
          </w:p>
        </w:tc>
        <w:tc>
          <w:tcPr>
            <w:tcW w:w="2189"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毕业设计（论文）★</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O</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16-18    4-18</w:t>
            </w:r>
          </w:p>
        </w:tc>
      </w:tr>
      <w:tr>
        <w:tblPrEx>
          <w:tblLayout w:type="fixed"/>
          <w:tblCellMar>
            <w:top w:w="0" w:type="dxa"/>
            <w:left w:w="0" w:type="dxa"/>
            <w:bottom w:w="0" w:type="dxa"/>
            <w:right w:w="0" w:type="dxa"/>
          </w:tblCellMar>
        </w:tblPrEx>
        <w:tc>
          <w:tcPr>
            <w:tcW w:w="4065"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合                计</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37.5周</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384</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7"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50.5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20</w:t>
            </w:r>
          </w:p>
        </w:tc>
        <w:tc>
          <w:tcPr>
            <w:tcW w:w="57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86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r>
    </w:tbl>
    <w:p>
      <w:pPr>
        <w:rPr>
          <w:rFonts w:ascii="Times New Roman" w:hAnsi="Times New Roman"/>
          <w:szCs w:val="21"/>
        </w:rPr>
        <w:sectPr>
          <w:headerReference r:id="rId7" w:type="default"/>
          <w:footerReference r:id="rId8" w:type="default"/>
          <w:pgSz w:w="16838" w:h="11906" w:orient="landscape"/>
          <w:pgMar w:top="1800" w:right="1440" w:bottom="1800" w:left="1440" w:header="851" w:footer="992" w:gutter="0"/>
          <w:pgNumType w:fmt="decimal"/>
          <w:cols w:space="720" w:num="1"/>
          <w:docGrid w:type="lines" w:linePitch="312" w:charSpace="0"/>
        </w:sectPr>
      </w:pPr>
    </w:p>
    <w:tbl>
      <w:tblPr>
        <w:tblStyle w:val="49"/>
        <w:tblW w:w="13963" w:type="dxa"/>
        <w:tblInd w:w="0" w:type="dxa"/>
        <w:tblLayout w:type="fixed"/>
        <w:tblCellMar>
          <w:top w:w="0" w:type="dxa"/>
          <w:left w:w="0" w:type="dxa"/>
          <w:bottom w:w="0" w:type="dxa"/>
          <w:right w:w="0" w:type="dxa"/>
        </w:tblCellMar>
      </w:tblPr>
      <w:tblGrid>
        <w:gridCol w:w="788"/>
        <w:gridCol w:w="1231"/>
        <w:gridCol w:w="1126"/>
        <w:gridCol w:w="722"/>
        <w:gridCol w:w="722"/>
        <w:gridCol w:w="721"/>
        <w:gridCol w:w="721"/>
        <w:gridCol w:w="721"/>
        <w:gridCol w:w="721"/>
        <w:gridCol w:w="721"/>
        <w:gridCol w:w="721"/>
        <w:gridCol w:w="721"/>
        <w:gridCol w:w="721"/>
        <w:gridCol w:w="721"/>
        <w:gridCol w:w="722"/>
        <w:gridCol w:w="721"/>
        <w:gridCol w:w="721"/>
        <w:gridCol w:w="721"/>
      </w:tblGrid>
      <w:tr>
        <w:tblPrEx>
          <w:tblLayout w:type="fixed"/>
          <w:tblCellMar>
            <w:top w:w="0" w:type="dxa"/>
            <w:left w:w="0" w:type="dxa"/>
            <w:bottom w:w="0" w:type="dxa"/>
            <w:right w:w="0" w:type="dxa"/>
          </w:tblCellMar>
        </w:tblPrEx>
        <w:trPr>
          <w:trHeight w:val="397" w:hRule="atLeast"/>
        </w:trPr>
        <w:tc>
          <w:tcPr>
            <w:tcW w:w="13963" w:type="dxa"/>
            <w:gridSpan w:val="18"/>
            <w:tcBorders>
              <w:top w:val="single" w:color="auto" w:sz="4" w:space="0"/>
              <w:left w:val="single" w:color="auto" w:sz="4" w:space="0"/>
              <w:bottom w:val="nil"/>
              <w:right w:val="nil"/>
            </w:tcBorders>
            <w:vAlign w:val="center"/>
          </w:tcPr>
          <w:p>
            <w:pPr>
              <w:widowControl/>
              <w:spacing w:line="440" w:lineRule="exact"/>
              <w:jc w:val="center"/>
              <w:rPr>
                <w:rFonts w:ascii="Times New Roman" w:hAnsi="Times New Roman"/>
                <w:b/>
                <w:bCs/>
                <w:kern w:val="0"/>
                <w:sz w:val="24"/>
                <w:szCs w:val="24"/>
              </w:rPr>
            </w:pPr>
            <w:r>
              <w:rPr>
                <w:rFonts w:ascii="Times New Roman" w:hAnsi="Times New Roman"/>
                <w:b/>
                <w:bCs/>
                <w:kern w:val="0"/>
                <w:sz w:val="24"/>
                <w:szCs w:val="24"/>
              </w:rPr>
              <w:t>合肥工业大学化学工程与工艺专业指导性教学计划</w:t>
            </w:r>
          </w:p>
        </w:tc>
      </w:tr>
      <w:tr>
        <w:tblPrEx>
          <w:tblLayout w:type="fixed"/>
          <w:tblCellMar>
            <w:top w:w="0" w:type="dxa"/>
            <w:left w:w="0" w:type="dxa"/>
            <w:bottom w:w="0" w:type="dxa"/>
            <w:right w:w="0" w:type="dxa"/>
          </w:tblCellMar>
        </w:tblPrEx>
        <w:trPr>
          <w:trHeight w:val="397" w:hRule="atLeast"/>
        </w:trPr>
        <w:tc>
          <w:tcPr>
            <w:tcW w:w="13963" w:type="dxa"/>
            <w:gridSpan w:val="18"/>
            <w:tcBorders>
              <w:top w:val="nil"/>
              <w:left w:val="single" w:color="auto" w:sz="4" w:space="0"/>
              <w:bottom w:val="single" w:color="auto" w:sz="6" w:space="0"/>
              <w:right w:val="nil"/>
            </w:tcBorders>
            <w:vAlign w:val="center"/>
          </w:tcPr>
          <w:p>
            <w:pPr>
              <w:widowControl/>
              <w:spacing w:line="440" w:lineRule="exact"/>
              <w:jc w:val="center"/>
              <w:rPr>
                <w:rFonts w:ascii="Times New Roman" w:hAnsi="Times New Roman"/>
                <w:b/>
                <w:bCs/>
                <w:kern w:val="0"/>
                <w:sz w:val="24"/>
                <w:szCs w:val="24"/>
              </w:rPr>
            </w:pPr>
            <w:r>
              <w:rPr>
                <w:rFonts w:ascii="Times New Roman" w:hAnsi="Times New Roman"/>
                <w:b/>
                <w:bCs/>
                <w:kern w:val="0"/>
                <w:sz w:val="24"/>
                <w:szCs w:val="24"/>
              </w:rPr>
              <w:t>各教学环节学时、学分分配表</w:t>
            </w:r>
          </w:p>
        </w:tc>
      </w:tr>
      <w:tr>
        <w:tblPrEx>
          <w:tblLayout w:type="fixed"/>
          <w:tblCellMar>
            <w:top w:w="0" w:type="dxa"/>
            <w:left w:w="0" w:type="dxa"/>
            <w:bottom w:w="0" w:type="dxa"/>
            <w:right w:w="0" w:type="dxa"/>
          </w:tblCellMar>
        </w:tblPrEx>
        <w:trPr>
          <w:trHeight w:val="397" w:hRule="atLeast"/>
        </w:trPr>
        <w:tc>
          <w:tcPr>
            <w:tcW w:w="2019"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课程类别</w:t>
            </w:r>
          </w:p>
        </w:tc>
        <w:tc>
          <w:tcPr>
            <w:tcW w:w="112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课程</w:t>
            </w:r>
            <w:r>
              <w:rPr>
                <w:rFonts w:ascii="Times New Roman" w:hAnsi="Times New Roman" w:eastAsia="楷体"/>
                <w:b/>
                <w:bCs/>
                <w:kern w:val="0"/>
                <w:szCs w:val="21"/>
              </w:rPr>
              <w:br w:type="textWrapping"/>
            </w:r>
            <w:r>
              <w:rPr>
                <w:rFonts w:ascii="Times New Roman" w:hAnsi="Times New Roman" w:eastAsia="楷体"/>
                <w:b/>
                <w:bCs/>
                <w:kern w:val="0"/>
                <w:szCs w:val="21"/>
              </w:rPr>
              <w:t>性质</w:t>
            </w:r>
          </w:p>
        </w:tc>
        <w:tc>
          <w:tcPr>
            <w:tcW w:w="72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学时</w:t>
            </w:r>
          </w:p>
        </w:tc>
        <w:tc>
          <w:tcPr>
            <w:tcW w:w="72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学分</w:t>
            </w:r>
          </w:p>
        </w:tc>
        <w:tc>
          <w:tcPr>
            <w:tcW w:w="8653" w:type="dxa"/>
            <w:gridSpan w:val="12"/>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学期学分分配表</w:t>
            </w:r>
          </w:p>
        </w:tc>
        <w:tc>
          <w:tcPr>
            <w:tcW w:w="72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学分比例</w:t>
            </w:r>
          </w:p>
        </w:tc>
      </w:tr>
      <w:tr>
        <w:tblPrEx>
          <w:tblLayout w:type="fixed"/>
          <w:tblCellMar>
            <w:top w:w="0" w:type="dxa"/>
            <w:left w:w="0" w:type="dxa"/>
            <w:bottom w:w="0" w:type="dxa"/>
            <w:right w:w="0" w:type="dxa"/>
          </w:tblCellMar>
        </w:tblPrEx>
        <w:trPr>
          <w:trHeight w:val="397" w:hRule="atLeast"/>
        </w:trPr>
        <w:tc>
          <w:tcPr>
            <w:tcW w:w="2019"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126"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722"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722"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2</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3</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6</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7</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8</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b/>
                <w:bCs/>
                <w:kern w:val="0"/>
                <w:szCs w:val="21"/>
              </w:rPr>
            </w:pPr>
            <w:r>
              <w:rPr>
                <w:rFonts w:ascii="Times New Roman" w:hAnsi="Times New Roman" w:eastAsia="楷体"/>
                <w:b/>
                <w:bCs/>
                <w:kern w:val="0"/>
                <w:szCs w:val="21"/>
              </w:rPr>
              <w:t>小</w:t>
            </w:r>
          </w:p>
        </w:tc>
        <w:tc>
          <w:tcPr>
            <w:tcW w:w="72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r>
      <w:tr>
        <w:tblPrEx>
          <w:tblLayout w:type="fixed"/>
          <w:tblCellMar>
            <w:top w:w="0" w:type="dxa"/>
            <w:left w:w="0" w:type="dxa"/>
            <w:bottom w:w="0" w:type="dxa"/>
            <w:right w:w="0" w:type="dxa"/>
          </w:tblCellMar>
        </w:tblPrEx>
        <w:trPr>
          <w:trHeight w:val="397" w:hRule="atLeast"/>
        </w:trPr>
        <w:tc>
          <w:tcPr>
            <w:tcW w:w="788"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理论教学</w:t>
            </w:r>
          </w:p>
        </w:tc>
        <w:tc>
          <w:tcPr>
            <w:tcW w:w="123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通识教育课程</w:t>
            </w: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必修</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1012</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64.5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18</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34%</w:t>
            </w:r>
          </w:p>
        </w:tc>
      </w:tr>
      <w:tr>
        <w:tblPrEx>
          <w:tblLayout w:type="fixed"/>
          <w:tblCellMar>
            <w:top w:w="0" w:type="dxa"/>
            <w:left w:w="0" w:type="dxa"/>
            <w:bottom w:w="0" w:type="dxa"/>
            <w:right w:w="0" w:type="dxa"/>
          </w:tblCellMar>
        </w:tblPrEx>
        <w:trPr>
          <w:trHeight w:val="397" w:hRule="atLeast"/>
        </w:trPr>
        <w:tc>
          <w:tcPr>
            <w:tcW w:w="78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23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选修</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144</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r>
      <w:tr>
        <w:tblPrEx>
          <w:tblLayout w:type="fixed"/>
          <w:tblCellMar>
            <w:top w:w="0" w:type="dxa"/>
            <w:left w:w="0" w:type="dxa"/>
            <w:bottom w:w="0" w:type="dxa"/>
            <w:right w:w="0" w:type="dxa"/>
          </w:tblCellMar>
        </w:tblPrEx>
        <w:trPr>
          <w:trHeight w:val="397" w:hRule="atLeast"/>
        </w:trPr>
        <w:tc>
          <w:tcPr>
            <w:tcW w:w="78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23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学科基础与专业课程</w:t>
            </w: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必修</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736</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46</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8</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24%</w:t>
            </w:r>
          </w:p>
        </w:tc>
      </w:tr>
      <w:tr>
        <w:tblPrEx>
          <w:tblLayout w:type="fixed"/>
          <w:tblCellMar>
            <w:top w:w="0" w:type="dxa"/>
            <w:left w:w="0" w:type="dxa"/>
            <w:bottom w:w="0" w:type="dxa"/>
            <w:right w:w="0" w:type="dxa"/>
          </w:tblCellMar>
        </w:tblPrEx>
        <w:trPr>
          <w:trHeight w:val="397" w:hRule="atLeast"/>
        </w:trPr>
        <w:tc>
          <w:tcPr>
            <w:tcW w:w="78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23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选修</w:t>
            </w:r>
            <w:r>
              <w:rPr>
                <w:rFonts w:ascii="Times New Roman" w:hAnsi="Times New Roman" w:eastAsia="楷体"/>
                <w:kern w:val="0"/>
                <w:szCs w:val="21"/>
              </w:rPr>
              <w:br w:type="textWrapping"/>
            </w:r>
            <w:r>
              <w:rPr>
                <w:rFonts w:ascii="Times New Roman" w:hAnsi="Times New Roman" w:eastAsia="楷体"/>
                <w:kern w:val="0"/>
                <w:szCs w:val="21"/>
              </w:rPr>
              <w:t>（最低）</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224</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w:t>
            </w:r>
          </w:p>
        </w:tc>
      </w:tr>
      <w:tr>
        <w:tblPrEx>
          <w:tblLayout w:type="fixed"/>
          <w:tblCellMar>
            <w:top w:w="0" w:type="dxa"/>
            <w:left w:w="0" w:type="dxa"/>
            <w:bottom w:w="0" w:type="dxa"/>
            <w:right w:w="0" w:type="dxa"/>
          </w:tblCellMar>
        </w:tblPrEx>
        <w:trPr>
          <w:trHeight w:val="397" w:hRule="atLeast"/>
        </w:trPr>
        <w:tc>
          <w:tcPr>
            <w:tcW w:w="788"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Times New Roman" w:hAnsi="Times New Roman" w:eastAsia="楷体"/>
                <w:kern w:val="0"/>
                <w:szCs w:val="21"/>
              </w:rPr>
            </w:pPr>
          </w:p>
        </w:tc>
        <w:tc>
          <w:tcPr>
            <w:tcW w:w="123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辅修课程</w:t>
            </w: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选修</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96</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6</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　</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r>
      <w:tr>
        <w:tblPrEx>
          <w:tblLayout w:type="fixed"/>
          <w:tblCellMar>
            <w:top w:w="0" w:type="dxa"/>
            <w:left w:w="0" w:type="dxa"/>
            <w:bottom w:w="0" w:type="dxa"/>
            <w:right w:w="0" w:type="dxa"/>
          </w:tblCellMar>
        </w:tblPrEx>
        <w:trPr>
          <w:trHeight w:val="397" w:hRule="atLeast"/>
        </w:trPr>
        <w:tc>
          <w:tcPr>
            <w:tcW w:w="788"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实践教学</w:t>
            </w:r>
          </w:p>
        </w:tc>
        <w:tc>
          <w:tcPr>
            <w:tcW w:w="123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集中安排的实践环节</w:t>
            </w:r>
            <w:r>
              <w:rPr>
                <w:rFonts w:ascii="Times New Roman" w:hAnsi="Times New Roman" w:eastAsia="楷体"/>
                <w:kern w:val="0"/>
                <w:szCs w:val="21"/>
              </w:rPr>
              <w:br w:type="textWrapping"/>
            </w:r>
            <w:r>
              <w:rPr>
                <w:rFonts w:ascii="Times New Roman" w:hAnsi="Times New Roman" w:eastAsia="楷体"/>
                <w:kern w:val="0"/>
                <w:szCs w:val="21"/>
              </w:rPr>
              <w:t>（含创新创业教育 4学分）</w:t>
            </w:r>
          </w:p>
        </w:tc>
        <w:tc>
          <w:tcPr>
            <w:tcW w:w="1126"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必修</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38.5周</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50.5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4</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3.5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7.5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27%</w:t>
            </w:r>
          </w:p>
        </w:tc>
      </w:tr>
      <w:tr>
        <w:tblPrEx>
          <w:tblLayout w:type="fixed"/>
          <w:tblCellMar>
            <w:top w:w="0" w:type="dxa"/>
            <w:left w:w="0" w:type="dxa"/>
            <w:bottom w:w="0" w:type="dxa"/>
            <w:right w:w="0" w:type="dxa"/>
          </w:tblCellMar>
        </w:tblPrEx>
        <w:trPr>
          <w:trHeight w:val="397" w:hRule="atLeast"/>
        </w:trPr>
        <w:tc>
          <w:tcPr>
            <w:tcW w:w="3145"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合计</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2212</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28</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26.5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27.5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23.25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25.75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2"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13.25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20.25</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0</w:t>
            </w:r>
          </w:p>
        </w:tc>
        <w:tc>
          <w:tcPr>
            <w:tcW w:w="721" w:type="dxa"/>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100%</w:t>
            </w:r>
          </w:p>
        </w:tc>
      </w:tr>
      <w:tr>
        <w:tblPrEx>
          <w:tblLayout w:type="fixed"/>
          <w:tblCellMar>
            <w:top w:w="0" w:type="dxa"/>
            <w:left w:w="0" w:type="dxa"/>
            <w:bottom w:w="0" w:type="dxa"/>
            <w:right w:w="0" w:type="dxa"/>
          </w:tblCellMar>
        </w:tblPrEx>
        <w:trPr>
          <w:trHeight w:val="397" w:hRule="atLeast"/>
        </w:trPr>
        <w:tc>
          <w:tcPr>
            <w:tcW w:w="3145" w:type="dxa"/>
            <w:gridSpan w:val="3"/>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最低毕业学分</w:t>
            </w:r>
          </w:p>
        </w:tc>
        <w:tc>
          <w:tcPr>
            <w:tcW w:w="10818" w:type="dxa"/>
            <w:gridSpan w:val="15"/>
            <w:tcBorders>
              <w:top w:val="single" w:color="auto" w:sz="6" w:space="0"/>
              <w:left w:val="single" w:color="auto" w:sz="6" w:space="0"/>
              <w:bottom w:val="single" w:color="auto" w:sz="6" w:space="0"/>
              <w:right w:val="single" w:color="auto" w:sz="6" w:space="0"/>
            </w:tcBorders>
            <w:vAlign w:val="center"/>
          </w:tcPr>
          <w:p>
            <w:pPr>
              <w:widowControl/>
              <w:spacing w:line="320" w:lineRule="exact"/>
              <w:jc w:val="center"/>
              <w:rPr>
                <w:rFonts w:ascii="Times New Roman" w:hAnsi="Times New Roman" w:eastAsia="楷体"/>
                <w:kern w:val="0"/>
                <w:szCs w:val="21"/>
              </w:rPr>
            </w:pPr>
            <w:r>
              <w:rPr>
                <w:rFonts w:ascii="Times New Roman" w:hAnsi="Times New Roman" w:eastAsia="楷体"/>
                <w:kern w:val="0"/>
                <w:szCs w:val="21"/>
              </w:rPr>
              <w:t>190</w:t>
            </w:r>
          </w:p>
        </w:tc>
      </w:tr>
    </w:tbl>
    <w:p/>
    <w:sectPr>
      <w:pgSz w:w="16838" w:h="11906" w:orient="landscape"/>
      <w:pgMar w:top="1797" w:right="1440" w:bottom="179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HYShuSongErJ">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rPr>
                    <w:lang w:val="zh-CN"/>
                  </w:rPr>
                  <w:t>11</w:t>
                </w:r>
                <w:r>
                  <w:rPr>
                    <w:lang w:val="zh-CN"/>
                  </w:rPr>
                  <w:fldChar w:fldCharType="end"/>
                </w:r>
              </w:p>
            </w:txbxContent>
          </v:textbox>
        </v:shape>
      </w:pict>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lear" w:pos="8306"/>
      </w:tabs>
      <w:jc w:val="both"/>
    </w:pPr>
    <w:r>
      <w:rPr>
        <w:rFonts w:hint="eastAsia"/>
      </w:rPr>
      <w:t>合肥</w:t>
    </w:r>
    <w:r>
      <w:t>工业大学化学与化工专业</w:t>
    </w:r>
    <w:r>
      <w:rPr>
        <w:rFonts w:hint="eastAsia"/>
      </w:rPr>
      <w:t xml:space="preserve">                                                                                                                                            自评报告</w:t>
    </w:r>
    <w: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lear" w:pos="8306"/>
      </w:tabs>
      <w:jc w:val="left"/>
    </w:pPr>
    <w:r>
      <w:rPr>
        <w:rFonts w:hint="eastAsia"/>
      </w:rPr>
      <w:t>合肥</w:t>
    </w:r>
    <w:r>
      <w:t>工业大学化学与化工专业</w:t>
    </w:r>
    <w:r>
      <w:rPr>
        <w:rFonts w:hint="eastAsia"/>
      </w:rPr>
      <w:t xml:space="preserve">                                                                                自评报告</w:t>
    </w:r>
    <w:r>
      <w:t>附录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6979"/>
        <w:tab w:val="right" w:pos="13958"/>
        <w:tab w:val="clear" w:pos="4153"/>
        <w:tab w:val="clear" w:pos="8306"/>
      </w:tabs>
    </w:pPr>
    <w:r>
      <w:t>合肥工业大学化学工程与工艺专业</w:t>
    </w:r>
    <w:r>
      <w:tab/>
    </w:r>
    <w:r>
      <w:rPr>
        <w:rFonts w:hint="eastAsia"/>
      </w:rPr>
      <w:tab/>
    </w:r>
    <w:r>
      <w:rPr>
        <w:rFonts w:hint="eastAsia"/>
      </w:rPr>
      <w:t>自评报告</w:t>
    </w:r>
    <w:r>
      <w:t>附录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C5C05"/>
    <w:rsid w:val="0001454F"/>
    <w:rsid w:val="000F3903"/>
    <w:rsid w:val="00125D79"/>
    <w:rsid w:val="00147303"/>
    <w:rsid w:val="00190239"/>
    <w:rsid w:val="001A322F"/>
    <w:rsid w:val="002B512F"/>
    <w:rsid w:val="003000DE"/>
    <w:rsid w:val="003953C9"/>
    <w:rsid w:val="004C3FD0"/>
    <w:rsid w:val="005F1880"/>
    <w:rsid w:val="0066573C"/>
    <w:rsid w:val="0076205E"/>
    <w:rsid w:val="00796960"/>
    <w:rsid w:val="00856301"/>
    <w:rsid w:val="008F0CFD"/>
    <w:rsid w:val="0098154B"/>
    <w:rsid w:val="00A54A19"/>
    <w:rsid w:val="00A93A69"/>
    <w:rsid w:val="00B35963"/>
    <w:rsid w:val="00CF40D2"/>
    <w:rsid w:val="00DA09D9"/>
    <w:rsid w:val="00F138FC"/>
    <w:rsid w:val="00F26F37"/>
    <w:rsid w:val="00FC5C05"/>
    <w:rsid w:val="056B793B"/>
    <w:rsid w:val="094B2D81"/>
    <w:rsid w:val="14681EC3"/>
    <w:rsid w:val="260E2E67"/>
    <w:rsid w:val="35CD405F"/>
    <w:rsid w:val="38DB6886"/>
    <w:rsid w:val="3FF3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2"/>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4"/>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6"/>
    <w:link w:val="55"/>
    <w:qFormat/>
    <w:uiPriority w:val="0"/>
    <w:pPr>
      <w:keepNext/>
      <w:keepLines/>
      <w:spacing w:before="280" w:after="290" w:line="376" w:lineRule="auto"/>
      <w:outlineLvl w:val="3"/>
    </w:pPr>
    <w:rPr>
      <w:rFonts w:ascii="Arial" w:hAnsi="Arial" w:eastAsia="黑体"/>
      <w:b/>
      <w:kern w:val="0"/>
      <w:sz w:val="28"/>
      <w:szCs w:val="20"/>
    </w:rPr>
  </w:style>
  <w:style w:type="paragraph" w:styleId="7">
    <w:name w:val="heading 5"/>
    <w:basedOn w:val="1"/>
    <w:next w:val="6"/>
    <w:link w:val="56"/>
    <w:qFormat/>
    <w:uiPriority w:val="0"/>
    <w:pPr>
      <w:keepNext/>
      <w:keepLines/>
      <w:spacing w:before="280" w:after="290" w:line="376" w:lineRule="auto"/>
      <w:outlineLvl w:val="4"/>
    </w:pPr>
    <w:rPr>
      <w:rFonts w:ascii="Times New Roman" w:hAnsi="Times New Roman"/>
      <w:b/>
      <w:kern w:val="0"/>
      <w:sz w:val="28"/>
      <w:szCs w:val="20"/>
    </w:rPr>
  </w:style>
  <w:style w:type="paragraph" w:styleId="8">
    <w:name w:val="heading 6"/>
    <w:basedOn w:val="1"/>
    <w:next w:val="6"/>
    <w:link w:val="57"/>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6"/>
    <w:link w:val="58"/>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6"/>
    <w:link w:val="59"/>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6"/>
    <w:link w:val="60"/>
    <w:qFormat/>
    <w:uiPriority w:val="0"/>
    <w:pPr>
      <w:keepNext/>
      <w:keepLines/>
      <w:spacing w:before="240" w:after="64" w:line="320" w:lineRule="auto"/>
      <w:outlineLvl w:val="8"/>
    </w:pPr>
    <w:rPr>
      <w:rFonts w:ascii="Arial" w:hAnsi="Arial" w:eastAsia="黑体"/>
      <w:kern w:val="0"/>
      <w:sz w:val="20"/>
      <w:szCs w:val="20"/>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Cs w:val="24"/>
    </w:rPr>
  </w:style>
  <w:style w:type="paragraph" w:styleId="12">
    <w:name w:val="annotation subject"/>
    <w:basedOn w:val="13"/>
    <w:next w:val="13"/>
    <w:link w:val="70"/>
    <w:unhideWhenUsed/>
    <w:qFormat/>
    <w:uiPriority w:val="0"/>
    <w:rPr>
      <w:b/>
      <w:bCs/>
    </w:rPr>
  </w:style>
  <w:style w:type="paragraph" w:styleId="13">
    <w:name w:val="annotation text"/>
    <w:basedOn w:val="1"/>
    <w:link w:val="75"/>
    <w:unhideWhenUsed/>
    <w:qFormat/>
    <w:uiPriority w:val="0"/>
    <w:pPr>
      <w:jc w:val="left"/>
    </w:pPr>
  </w:style>
  <w:style w:type="paragraph" w:styleId="14">
    <w:name w:val="toc 7"/>
    <w:basedOn w:val="1"/>
    <w:next w:val="1"/>
    <w:unhideWhenUsed/>
    <w:qFormat/>
    <w:uiPriority w:val="39"/>
    <w:pPr>
      <w:ind w:left="2520" w:leftChars="1200"/>
    </w:pPr>
  </w:style>
  <w:style w:type="paragraph" w:styleId="15">
    <w:name w:val="Body Text First Indent"/>
    <w:basedOn w:val="16"/>
    <w:link w:val="112"/>
    <w:qFormat/>
    <w:uiPriority w:val="0"/>
    <w:pPr>
      <w:ind w:firstLine="420" w:firstLineChars="100"/>
    </w:pPr>
    <w:rPr>
      <w:rFonts w:ascii="Times New Roman" w:hAnsi="Times New Roman"/>
      <w:szCs w:val="24"/>
    </w:rPr>
  </w:style>
  <w:style w:type="paragraph" w:styleId="16">
    <w:name w:val="Body Text"/>
    <w:basedOn w:val="1"/>
    <w:link w:val="72"/>
    <w:unhideWhenUsed/>
    <w:qFormat/>
    <w:uiPriority w:val="0"/>
    <w:pPr>
      <w:spacing w:after="120"/>
    </w:pPr>
  </w:style>
  <w:style w:type="paragraph" w:styleId="17">
    <w:name w:val="Document Map"/>
    <w:basedOn w:val="1"/>
    <w:link w:val="82"/>
    <w:unhideWhenUsed/>
    <w:qFormat/>
    <w:uiPriority w:val="99"/>
    <w:rPr>
      <w:rFonts w:ascii="宋体" w:hAnsi="Times New Roman"/>
      <w:sz w:val="18"/>
      <w:szCs w:val="18"/>
    </w:rPr>
  </w:style>
  <w:style w:type="paragraph" w:styleId="18">
    <w:name w:val="Body Text 3"/>
    <w:basedOn w:val="1"/>
    <w:link w:val="91"/>
    <w:qFormat/>
    <w:uiPriority w:val="0"/>
    <w:pPr>
      <w:widowControl/>
      <w:jc w:val="left"/>
    </w:pPr>
    <w:rPr>
      <w:rFonts w:ascii="楷体_GB2312" w:hAnsi="Times New Roman" w:eastAsia="楷体_GB2312"/>
      <w:b/>
      <w:bCs/>
      <w:szCs w:val="28"/>
    </w:rPr>
  </w:style>
  <w:style w:type="paragraph" w:styleId="19">
    <w:name w:val="Body Text Indent"/>
    <w:basedOn w:val="1"/>
    <w:link w:val="167"/>
    <w:unhideWhenUsed/>
    <w:qFormat/>
    <w:uiPriority w:val="0"/>
    <w:pPr>
      <w:spacing w:after="120"/>
      <w:ind w:left="420" w:leftChars="200"/>
    </w:pPr>
  </w:style>
  <w:style w:type="paragraph" w:styleId="20">
    <w:name w:val="Block Text"/>
    <w:basedOn w:val="1"/>
    <w:qFormat/>
    <w:uiPriority w:val="0"/>
    <w:pPr>
      <w:ind w:left="-359" w:leftChars="-171" w:right="1466" w:rightChars="698" w:firstLine="359" w:firstLineChars="171"/>
    </w:pPr>
    <w:rPr>
      <w:rFonts w:ascii="Times New Roman" w:hAnsi="Times New Roman"/>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08"/>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style>
  <w:style w:type="paragraph" w:styleId="25">
    <w:name w:val="Date"/>
    <w:basedOn w:val="1"/>
    <w:next w:val="1"/>
    <w:link w:val="111"/>
    <w:qFormat/>
    <w:uiPriority w:val="0"/>
    <w:rPr>
      <w:rFonts w:ascii="Times New Roman" w:hAnsi="Times New Roman"/>
      <w:szCs w:val="20"/>
    </w:rPr>
  </w:style>
  <w:style w:type="paragraph" w:styleId="26">
    <w:name w:val="Body Text Indent 2"/>
    <w:basedOn w:val="1"/>
    <w:link w:val="66"/>
    <w:qFormat/>
    <w:uiPriority w:val="0"/>
    <w:pPr>
      <w:spacing w:line="320" w:lineRule="exact"/>
      <w:ind w:firstLine="420" w:firstLineChars="200"/>
    </w:pPr>
    <w:rPr>
      <w:rFonts w:ascii="宋体" w:hAnsi="宋体"/>
      <w:szCs w:val="24"/>
    </w:rPr>
  </w:style>
  <w:style w:type="paragraph" w:styleId="27">
    <w:name w:val="Balloon Text"/>
    <w:basedOn w:val="1"/>
    <w:link w:val="77"/>
    <w:unhideWhenUsed/>
    <w:qFormat/>
    <w:uiPriority w:val="0"/>
    <w:rPr>
      <w:sz w:val="18"/>
      <w:szCs w:val="18"/>
    </w:rPr>
  </w:style>
  <w:style w:type="paragraph" w:styleId="28">
    <w:name w:val="footer"/>
    <w:basedOn w:val="1"/>
    <w:link w:val="7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9">
    <w:name w:val="Body Text First Indent 2"/>
    <w:basedOn w:val="19"/>
    <w:link w:val="81"/>
    <w:qFormat/>
    <w:uiPriority w:val="0"/>
    <w:pPr>
      <w:spacing w:after="0" w:line="400" w:lineRule="exact"/>
      <w:ind w:left="0" w:leftChars="0" w:firstLine="200" w:firstLineChars="200"/>
    </w:pPr>
    <w:rPr>
      <w:rFonts w:ascii="华文仿宋" w:hAnsi="Times New Roman" w:eastAsia="华文仿宋"/>
      <w:sz w:val="28"/>
      <w:szCs w:val="28"/>
    </w:rPr>
  </w:style>
  <w:style w:type="paragraph" w:styleId="30">
    <w:name w:val="header"/>
    <w:basedOn w:val="1"/>
    <w:link w:val="7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1">
    <w:name w:val="toc 1"/>
    <w:basedOn w:val="1"/>
    <w:next w:val="1"/>
    <w:qFormat/>
    <w:uiPriority w:val="39"/>
    <w:rPr>
      <w:rFonts w:ascii="Times New Roman" w:hAnsi="Times New Roman"/>
      <w:szCs w:val="24"/>
    </w:rPr>
  </w:style>
  <w:style w:type="paragraph" w:styleId="32">
    <w:name w:val="toc 4"/>
    <w:basedOn w:val="1"/>
    <w:next w:val="1"/>
    <w:unhideWhenUsed/>
    <w:qFormat/>
    <w:uiPriority w:val="39"/>
    <w:pPr>
      <w:ind w:left="1260" w:leftChars="600"/>
    </w:pPr>
  </w:style>
  <w:style w:type="paragraph" w:styleId="33">
    <w:name w:val="toc 6"/>
    <w:basedOn w:val="1"/>
    <w:next w:val="1"/>
    <w:unhideWhenUsed/>
    <w:qFormat/>
    <w:uiPriority w:val="39"/>
    <w:pPr>
      <w:ind w:left="2100" w:leftChars="1000"/>
    </w:pPr>
  </w:style>
  <w:style w:type="paragraph" w:styleId="34">
    <w:name w:val="Body Text Indent 3"/>
    <w:basedOn w:val="1"/>
    <w:link w:val="76"/>
    <w:qFormat/>
    <w:uiPriority w:val="0"/>
    <w:pPr>
      <w:ind w:left="-107" w:leftChars="-51" w:firstLine="178" w:firstLineChars="85"/>
      <w:jc w:val="center"/>
    </w:pPr>
    <w:rPr>
      <w:rFonts w:ascii="Times New Roman" w:hAnsi="Times New Roman"/>
      <w:bCs/>
      <w:szCs w:val="24"/>
    </w:rPr>
  </w:style>
  <w:style w:type="paragraph" w:styleId="35">
    <w:name w:val="toc 2"/>
    <w:basedOn w:val="1"/>
    <w:next w:val="1"/>
    <w:unhideWhenUsed/>
    <w:qFormat/>
    <w:uiPriority w:val="0"/>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104"/>
    <w:qFormat/>
    <w:uiPriority w:val="0"/>
    <w:pPr>
      <w:spacing w:after="120" w:line="480" w:lineRule="auto"/>
    </w:pPr>
    <w:rPr>
      <w:rFonts w:ascii="Times New Roman" w:hAnsi="Times New Roman"/>
      <w:szCs w:val="24"/>
    </w:rPr>
  </w:style>
  <w:style w:type="paragraph" w:styleId="38">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9">
    <w:name w:val="Normal (Web)"/>
    <w:basedOn w:val="1"/>
    <w:link w:val="106"/>
    <w:unhideWhenUsed/>
    <w:qFormat/>
    <w:uiPriority w:val="0"/>
    <w:pPr>
      <w:spacing w:before="100" w:beforeAutospacing="1" w:after="100" w:afterAutospacing="1"/>
      <w:jc w:val="left"/>
    </w:pPr>
    <w:rPr>
      <w:rFonts w:ascii="Times New Roman" w:hAnsi="Times New Roman"/>
      <w:kern w:val="0"/>
      <w:sz w:val="24"/>
      <w:szCs w:val="24"/>
    </w:rPr>
  </w:style>
  <w:style w:type="paragraph" w:styleId="40">
    <w:name w:val="Title"/>
    <w:basedOn w:val="1"/>
    <w:next w:val="1"/>
    <w:link w:val="92"/>
    <w:qFormat/>
    <w:uiPriority w:val="0"/>
    <w:pPr>
      <w:spacing w:before="240" w:after="60"/>
      <w:jc w:val="center"/>
      <w:outlineLvl w:val="0"/>
    </w:pPr>
    <w:rPr>
      <w:rFonts w:ascii="Cambria" w:hAnsi="Cambria"/>
      <w:b/>
      <w:bCs/>
      <w:sz w:val="32"/>
      <w:szCs w:val="32"/>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semiHidden/>
    <w:unhideWhenUsed/>
    <w:qFormat/>
    <w:uiPriority w:val="99"/>
    <w:rPr>
      <w:color w:val="800080" w:themeColor="followedHyperlink"/>
      <w:u w:val="single"/>
    </w:rPr>
  </w:style>
  <w:style w:type="character" w:styleId="45">
    <w:name w:val="Emphasis"/>
    <w:qFormat/>
    <w:uiPriority w:val="0"/>
    <w:rPr>
      <w:i/>
      <w:iCs/>
    </w:rPr>
  </w:style>
  <w:style w:type="character" w:styleId="46">
    <w:name w:val="Hyperlink"/>
    <w:unhideWhenUsed/>
    <w:qFormat/>
    <w:uiPriority w:val="99"/>
    <w:rPr>
      <w:color w:val="0000FF"/>
      <w:u w:val="single"/>
    </w:rPr>
  </w:style>
  <w:style w:type="character" w:styleId="47">
    <w:name w:val="annotation reference"/>
    <w:unhideWhenUsed/>
    <w:qFormat/>
    <w:uiPriority w:val="0"/>
    <w:rPr>
      <w:sz w:val="21"/>
      <w:szCs w:val="21"/>
    </w:rPr>
  </w:style>
  <w:style w:type="character" w:styleId="48">
    <w:name w:val="HTML Cite"/>
    <w:semiHidden/>
    <w:qFormat/>
    <w:uiPriority w:val="99"/>
    <w:rPr>
      <w:rFonts w:cs="Times New Roman"/>
      <w:i/>
      <w:iCs/>
    </w:rPr>
  </w:style>
  <w:style w:type="table" w:styleId="50">
    <w:name w:val="Table Grid"/>
    <w:basedOn w:val="49"/>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1">
    <w:name w:val="Table List 3"/>
    <w:basedOn w:val="49"/>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single" w:color="000000" w:sz="12" w:space="0"/>
          <w:bottom w:val="nil"/>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character" w:customStyle="1" w:styleId="52">
    <w:name w:val="标题 1 Char"/>
    <w:basedOn w:val="41"/>
    <w:link w:val="2"/>
    <w:qFormat/>
    <w:uiPriority w:val="0"/>
    <w:rPr>
      <w:rFonts w:ascii="宋体" w:hAnsi="宋体" w:eastAsia="宋体" w:cs="Times New Roman"/>
      <w:b/>
      <w:bCs/>
      <w:kern w:val="36"/>
      <w:sz w:val="48"/>
      <w:szCs w:val="48"/>
    </w:rPr>
  </w:style>
  <w:style w:type="character" w:customStyle="1" w:styleId="53">
    <w:name w:val="标题 2 Char"/>
    <w:basedOn w:val="41"/>
    <w:link w:val="3"/>
    <w:qFormat/>
    <w:uiPriority w:val="0"/>
    <w:rPr>
      <w:rFonts w:ascii="Arial" w:hAnsi="Arial" w:eastAsia="黑体" w:cs="Times New Roman"/>
      <w:b/>
      <w:bCs/>
      <w:kern w:val="0"/>
      <w:sz w:val="32"/>
      <w:szCs w:val="32"/>
    </w:rPr>
  </w:style>
  <w:style w:type="character" w:customStyle="1" w:styleId="54">
    <w:name w:val="标题 3 Char"/>
    <w:basedOn w:val="41"/>
    <w:link w:val="4"/>
    <w:qFormat/>
    <w:uiPriority w:val="0"/>
    <w:rPr>
      <w:rFonts w:ascii="Times New Roman" w:hAnsi="Times New Roman" w:eastAsia="宋体" w:cs="Times New Roman"/>
      <w:b/>
      <w:bCs/>
      <w:kern w:val="0"/>
      <w:sz w:val="32"/>
      <w:szCs w:val="32"/>
    </w:rPr>
  </w:style>
  <w:style w:type="character" w:customStyle="1" w:styleId="55">
    <w:name w:val="标题 4 Char"/>
    <w:basedOn w:val="41"/>
    <w:link w:val="5"/>
    <w:qFormat/>
    <w:uiPriority w:val="0"/>
    <w:rPr>
      <w:rFonts w:ascii="Arial" w:hAnsi="Arial" w:eastAsia="黑体" w:cs="Times New Roman"/>
      <w:b/>
      <w:kern w:val="0"/>
      <w:sz w:val="28"/>
      <w:szCs w:val="20"/>
    </w:rPr>
  </w:style>
  <w:style w:type="character" w:customStyle="1" w:styleId="56">
    <w:name w:val="标题 5 Char"/>
    <w:basedOn w:val="41"/>
    <w:link w:val="7"/>
    <w:qFormat/>
    <w:uiPriority w:val="0"/>
    <w:rPr>
      <w:rFonts w:ascii="Times New Roman" w:hAnsi="Times New Roman" w:eastAsia="宋体" w:cs="Times New Roman"/>
      <w:b/>
      <w:kern w:val="0"/>
      <w:sz w:val="28"/>
      <w:szCs w:val="20"/>
    </w:rPr>
  </w:style>
  <w:style w:type="character" w:customStyle="1" w:styleId="57">
    <w:name w:val="标题 6 Char"/>
    <w:basedOn w:val="41"/>
    <w:link w:val="8"/>
    <w:qFormat/>
    <w:uiPriority w:val="0"/>
    <w:rPr>
      <w:rFonts w:ascii="Arial" w:hAnsi="Arial" w:eastAsia="黑体" w:cs="Times New Roman"/>
      <w:b/>
      <w:kern w:val="0"/>
      <w:sz w:val="24"/>
      <w:szCs w:val="20"/>
    </w:rPr>
  </w:style>
  <w:style w:type="character" w:customStyle="1" w:styleId="58">
    <w:name w:val="标题 7 Char"/>
    <w:basedOn w:val="41"/>
    <w:link w:val="9"/>
    <w:qFormat/>
    <w:uiPriority w:val="0"/>
    <w:rPr>
      <w:rFonts w:ascii="Times New Roman" w:hAnsi="Times New Roman" w:eastAsia="宋体" w:cs="Times New Roman"/>
      <w:b/>
      <w:kern w:val="0"/>
      <w:sz w:val="24"/>
      <w:szCs w:val="20"/>
    </w:rPr>
  </w:style>
  <w:style w:type="character" w:customStyle="1" w:styleId="59">
    <w:name w:val="标题 8 Char"/>
    <w:basedOn w:val="41"/>
    <w:link w:val="10"/>
    <w:qFormat/>
    <w:uiPriority w:val="0"/>
    <w:rPr>
      <w:rFonts w:ascii="Arial" w:hAnsi="Arial" w:eastAsia="黑体" w:cs="Times New Roman"/>
      <w:kern w:val="0"/>
      <w:sz w:val="24"/>
      <w:szCs w:val="20"/>
    </w:rPr>
  </w:style>
  <w:style w:type="character" w:customStyle="1" w:styleId="60">
    <w:name w:val="标题 9 Char"/>
    <w:basedOn w:val="41"/>
    <w:link w:val="11"/>
    <w:qFormat/>
    <w:uiPriority w:val="0"/>
    <w:rPr>
      <w:rFonts w:ascii="Arial" w:hAnsi="Arial" w:eastAsia="黑体" w:cs="Times New Roman"/>
      <w:kern w:val="0"/>
      <w:sz w:val="20"/>
      <w:szCs w:val="20"/>
    </w:rPr>
  </w:style>
  <w:style w:type="character" w:customStyle="1" w:styleId="61">
    <w:name w:val="citation_year"/>
    <w:qFormat/>
    <w:uiPriority w:val="99"/>
    <w:rPr>
      <w:rFonts w:cs="Times New Roman"/>
    </w:rPr>
  </w:style>
  <w:style w:type="character" w:customStyle="1" w:styleId="62">
    <w:name w:val="lemmatitleh1"/>
    <w:qFormat/>
    <w:uiPriority w:val="0"/>
  </w:style>
  <w:style w:type="character" w:customStyle="1" w:styleId="63">
    <w:name w:val="coursetitle"/>
    <w:basedOn w:val="41"/>
    <w:qFormat/>
    <w:uiPriority w:val="0"/>
  </w:style>
  <w:style w:type="character" w:customStyle="1" w:styleId="64">
    <w:name w:val="标题 Char1"/>
    <w:qFormat/>
    <w:uiPriority w:val="10"/>
    <w:rPr>
      <w:rFonts w:ascii="Cambria" w:hAnsi="Cambria" w:cs="Times New Roman"/>
      <w:b/>
      <w:bCs/>
      <w:kern w:val="2"/>
      <w:sz w:val="32"/>
      <w:szCs w:val="32"/>
    </w:rPr>
  </w:style>
  <w:style w:type="character" w:customStyle="1" w:styleId="65">
    <w:name w:val="font532861"/>
    <w:qFormat/>
    <w:uiPriority w:val="0"/>
    <w:rPr>
      <w:rFonts w:hint="eastAsia" w:ascii="宋体" w:hAnsi="宋体" w:eastAsia="宋体"/>
      <w:color w:val="222222"/>
      <w:sz w:val="20"/>
      <w:szCs w:val="20"/>
    </w:rPr>
  </w:style>
  <w:style w:type="character" w:customStyle="1" w:styleId="66">
    <w:name w:val="正文文本缩进 2 Char"/>
    <w:link w:val="26"/>
    <w:qFormat/>
    <w:uiPriority w:val="0"/>
    <w:rPr>
      <w:rFonts w:ascii="宋体" w:hAnsi="宋体" w:eastAsia="宋体" w:cs="Times New Roman"/>
      <w:szCs w:val="24"/>
    </w:rPr>
  </w:style>
  <w:style w:type="character" w:customStyle="1" w:styleId="67">
    <w:name w:val="nlm_xref-aff"/>
    <w:basedOn w:val="41"/>
    <w:qFormat/>
    <w:uiPriority w:val="0"/>
  </w:style>
  <w:style w:type="character" w:customStyle="1" w:styleId="68">
    <w:name w:val="style321"/>
    <w:qFormat/>
    <w:uiPriority w:val="0"/>
    <w:rPr>
      <w:sz w:val="21"/>
      <w:szCs w:val="21"/>
    </w:rPr>
  </w:style>
  <w:style w:type="character" w:customStyle="1" w:styleId="69">
    <w:name w:val="short_text1"/>
    <w:qFormat/>
    <w:uiPriority w:val="0"/>
    <w:rPr>
      <w:sz w:val="32"/>
      <w:szCs w:val="32"/>
    </w:rPr>
  </w:style>
  <w:style w:type="character" w:customStyle="1" w:styleId="70">
    <w:name w:val="批注主题 Char"/>
    <w:link w:val="12"/>
    <w:qFormat/>
    <w:uiPriority w:val="0"/>
    <w:rPr>
      <w:rFonts w:ascii="Calibri" w:hAnsi="Calibri" w:eastAsia="宋体" w:cs="Times New Roman"/>
      <w:b/>
      <w:bCs/>
    </w:rPr>
  </w:style>
  <w:style w:type="character" w:customStyle="1" w:styleId="71">
    <w:name w:val="font01"/>
    <w:qFormat/>
    <w:uiPriority w:val="0"/>
    <w:rPr>
      <w:rFonts w:hint="default" w:ascii="Times New Roman" w:hAnsi="Times New Roman" w:cs="Times New Roman"/>
      <w:color w:val="0000FF"/>
      <w:sz w:val="20"/>
      <w:szCs w:val="20"/>
      <w:u w:val="none"/>
    </w:rPr>
  </w:style>
  <w:style w:type="character" w:customStyle="1" w:styleId="72">
    <w:name w:val="正文文本 Char"/>
    <w:link w:val="16"/>
    <w:qFormat/>
    <w:uiPriority w:val="0"/>
    <w:rPr>
      <w:rFonts w:ascii="Calibri" w:hAnsi="Calibri" w:eastAsia="宋体" w:cs="Times New Roman"/>
    </w:rPr>
  </w:style>
  <w:style w:type="character" w:customStyle="1" w:styleId="73">
    <w:name w:val="font21"/>
    <w:qFormat/>
    <w:uiPriority w:val="0"/>
    <w:rPr>
      <w:rFonts w:hint="eastAsia" w:ascii="宋体" w:hAnsi="宋体" w:eastAsia="宋体" w:cs="宋体"/>
      <w:color w:val="000000"/>
      <w:sz w:val="22"/>
      <w:szCs w:val="22"/>
      <w:u w:val="none"/>
    </w:rPr>
  </w:style>
  <w:style w:type="character" w:customStyle="1" w:styleId="74">
    <w:name w:val="页脚 Char"/>
    <w:link w:val="28"/>
    <w:qFormat/>
    <w:uiPriority w:val="99"/>
    <w:rPr>
      <w:sz w:val="18"/>
      <w:szCs w:val="18"/>
    </w:rPr>
  </w:style>
  <w:style w:type="character" w:customStyle="1" w:styleId="75">
    <w:name w:val="批注文字 Char"/>
    <w:link w:val="13"/>
    <w:qFormat/>
    <w:uiPriority w:val="0"/>
    <w:rPr>
      <w:rFonts w:ascii="Calibri" w:hAnsi="Calibri" w:eastAsia="宋体" w:cs="Times New Roman"/>
    </w:rPr>
  </w:style>
  <w:style w:type="character" w:customStyle="1" w:styleId="76">
    <w:name w:val="正文文本缩进 3 Char"/>
    <w:link w:val="34"/>
    <w:qFormat/>
    <w:uiPriority w:val="0"/>
    <w:rPr>
      <w:rFonts w:ascii="Times New Roman" w:hAnsi="Times New Roman" w:eastAsia="宋体" w:cs="Times New Roman"/>
      <w:bCs/>
      <w:szCs w:val="24"/>
    </w:rPr>
  </w:style>
  <w:style w:type="character" w:customStyle="1" w:styleId="77">
    <w:name w:val="批注框文本 Char"/>
    <w:link w:val="27"/>
    <w:qFormat/>
    <w:uiPriority w:val="0"/>
    <w:rPr>
      <w:rFonts w:ascii="Calibri" w:hAnsi="Calibri" w:eastAsia="宋体" w:cs="Times New Roman"/>
      <w:sz w:val="18"/>
      <w:szCs w:val="18"/>
    </w:rPr>
  </w:style>
  <w:style w:type="character" w:customStyle="1" w:styleId="78">
    <w:name w:val="页眉 Char"/>
    <w:link w:val="30"/>
    <w:qFormat/>
    <w:uiPriority w:val="99"/>
    <w:rPr>
      <w:sz w:val="18"/>
      <w:szCs w:val="18"/>
    </w:rPr>
  </w:style>
  <w:style w:type="character" w:customStyle="1" w:styleId="79">
    <w:name w:val="apple-converted-space"/>
    <w:qFormat/>
    <w:uiPriority w:val="99"/>
    <w:rPr>
      <w:rFonts w:cs="Times New Roman"/>
    </w:rPr>
  </w:style>
  <w:style w:type="paragraph" w:customStyle="1" w:styleId="80">
    <w:name w:val="_Style 46"/>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正文首行缩进 2 Char"/>
    <w:link w:val="29"/>
    <w:qFormat/>
    <w:uiPriority w:val="0"/>
    <w:rPr>
      <w:rFonts w:ascii="华文仿宋" w:hAnsi="Times New Roman" w:eastAsia="华文仿宋" w:cs="Times New Roman"/>
      <w:sz w:val="28"/>
      <w:szCs w:val="28"/>
    </w:rPr>
  </w:style>
  <w:style w:type="character" w:customStyle="1" w:styleId="82">
    <w:name w:val="文档结构图 Char"/>
    <w:link w:val="17"/>
    <w:qFormat/>
    <w:uiPriority w:val="99"/>
    <w:rPr>
      <w:rFonts w:ascii="宋体" w:hAnsi="Times New Roman" w:eastAsia="宋体" w:cs="Times New Roman"/>
      <w:sz w:val="18"/>
      <w:szCs w:val="18"/>
    </w:rPr>
  </w:style>
  <w:style w:type="character" w:customStyle="1" w:styleId="83">
    <w:name w:val="citation_volume"/>
    <w:qFormat/>
    <w:uiPriority w:val="99"/>
    <w:rPr>
      <w:rFonts w:cs="Times New Roman"/>
    </w:rPr>
  </w:style>
  <w:style w:type="character" w:customStyle="1" w:styleId="84">
    <w:name w:val="Char Char2"/>
    <w:qFormat/>
    <w:uiPriority w:val="0"/>
    <w:rPr>
      <w:rFonts w:eastAsia="宋体"/>
      <w:bCs/>
      <w:sz w:val="24"/>
      <w:szCs w:val="44"/>
      <w:lang w:val="en-US" w:eastAsia="zh-CN" w:bidi="ar-SA"/>
    </w:rPr>
  </w:style>
  <w:style w:type="character" w:customStyle="1" w:styleId="85">
    <w:name w:val="lineheigh1"/>
    <w:qFormat/>
    <w:uiPriority w:val="0"/>
    <w:rPr>
      <w:spacing w:val="360"/>
    </w:rPr>
  </w:style>
  <w:style w:type="character" w:customStyle="1" w:styleId="86">
    <w:name w:val="正文文本缩进 Char"/>
    <w:qFormat/>
    <w:uiPriority w:val="0"/>
    <w:rPr>
      <w:rFonts w:ascii="Times New Roman" w:hAnsi="Times New Roman" w:eastAsia="宋体" w:cs="Times New Roman"/>
      <w:sz w:val="28"/>
      <w:szCs w:val="24"/>
    </w:rPr>
  </w:style>
  <w:style w:type="character" w:customStyle="1" w:styleId="87">
    <w:name w:val="Char Char6"/>
    <w:qFormat/>
    <w:uiPriority w:val="0"/>
    <w:rPr>
      <w:rFonts w:ascii="黑体" w:eastAsia="黑体"/>
      <w:kern w:val="44"/>
      <w:sz w:val="36"/>
      <w:szCs w:val="36"/>
      <w:lang w:val="en-US" w:eastAsia="zh-CN" w:bidi="ar-SA"/>
    </w:rPr>
  </w:style>
  <w:style w:type="character" w:customStyle="1" w:styleId="88">
    <w:name w:val="font61"/>
    <w:qFormat/>
    <w:uiPriority w:val="0"/>
    <w:rPr>
      <w:rFonts w:ascii="font-weight : 400" w:hAnsi="font-weight : 400" w:eastAsia="font-weight : 400" w:cs="font-weight : 400"/>
      <w:color w:val="000000"/>
      <w:sz w:val="20"/>
      <w:szCs w:val="20"/>
      <w:u w:val="none"/>
    </w:rPr>
  </w:style>
  <w:style w:type="character" w:customStyle="1" w:styleId="89">
    <w:name w:val="不明显强调1"/>
    <w:qFormat/>
    <w:uiPriority w:val="19"/>
    <w:rPr>
      <w:i/>
      <w:iCs/>
      <w:color w:val="7F7F7F"/>
    </w:rPr>
  </w:style>
  <w:style w:type="character" w:customStyle="1" w:styleId="90">
    <w:name w:val="dash6b63-6587--char"/>
    <w:basedOn w:val="41"/>
    <w:qFormat/>
    <w:uiPriority w:val="0"/>
  </w:style>
  <w:style w:type="character" w:customStyle="1" w:styleId="91">
    <w:name w:val="正文文本 3 Char"/>
    <w:link w:val="18"/>
    <w:qFormat/>
    <w:uiPriority w:val="0"/>
    <w:rPr>
      <w:rFonts w:ascii="楷体_GB2312" w:hAnsi="Times New Roman" w:eastAsia="楷体_GB2312" w:cs="Times New Roman"/>
      <w:b/>
      <w:bCs/>
      <w:szCs w:val="28"/>
    </w:rPr>
  </w:style>
  <w:style w:type="character" w:customStyle="1" w:styleId="92">
    <w:name w:val="标题 Char"/>
    <w:link w:val="40"/>
    <w:qFormat/>
    <w:uiPriority w:val="0"/>
    <w:rPr>
      <w:rFonts w:ascii="Cambria" w:hAnsi="Cambria" w:eastAsia="宋体" w:cs="Times New Roman"/>
      <w:b/>
      <w:bCs/>
      <w:sz w:val="32"/>
      <w:szCs w:val="32"/>
    </w:rPr>
  </w:style>
  <w:style w:type="character" w:customStyle="1" w:styleId="93">
    <w:name w:val="citation_year1"/>
    <w:qFormat/>
    <w:uiPriority w:val="0"/>
    <w:rPr>
      <w:b/>
      <w:bCs/>
    </w:rPr>
  </w:style>
  <w:style w:type="character" w:customStyle="1" w:styleId="94">
    <w:name w:val="highlight1"/>
    <w:qFormat/>
    <w:uiPriority w:val="0"/>
    <w:rPr>
      <w:sz w:val="18"/>
      <w:szCs w:val="18"/>
    </w:rPr>
  </w:style>
  <w:style w:type="character" w:customStyle="1" w:styleId="95">
    <w:name w:val="biaoti1"/>
    <w:qFormat/>
    <w:uiPriority w:val="0"/>
    <w:rPr>
      <w:sz w:val="18"/>
      <w:szCs w:val="18"/>
    </w:rPr>
  </w:style>
  <w:style w:type="character" w:customStyle="1" w:styleId="96">
    <w:name w:val="font11"/>
    <w:qFormat/>
    <w:uiPriority w:val="0"/>
    <w:rPr>
      <w:rFonts w:hint="default" w:ascii="Times New Roman" w:hAnsi="Times New Roman" w:cs="Times New Roman"/>
      <w:color w:val="000000"/>
      <w:sz w:val="22"/>
      <w:szCs w:val="22"/>
      <w:u w:val="none"/>
    </w:rPr>
  </w:style>
  <w:style w:type="character" w:customStyle="1" w:styleId="97">
    <w:name w:val="p2"/>
    <w:basedOn w:val="41"/>
    <w:qFormat/>
    <w:uiPriority w:val="0"/>
  </w:style>
  <w:style w:type="character" w:customStyle="1" w:styleId="98">
    <w:name w:val="ourfont1"/>
    <w:qFormat/>
    <w:uiPriority w:val="0"/>
    <w:rPr>
      <w:rFonts w:ascii="宋体" w:hAnsi="宋体" w:eastAsia="宋体" w:cs="Times New Roman"/>
      <w:sz w:val="18"/>
      <w:szCs w:val="18"/>
    </w:rPr>
  </w:style>
  <w:style w:type="character" w:customStyle="1" w:styleId="99">
    <w:name w:val="artbody"/>
    <w:basedOn w:val="41"/>
    <w:qFormat/>
    <w:uiPriority w:val="0"/>
  </w:style>
  <w:style w:type="character" w:customStyle="1" w:styleId="100">
    <w:name w:val="HTML 预设格式 Char"/>
    <w:link w:val="38"/>
    <w:qFormat/>
    <w:uiPriority w:val="99"/>
    <w:rPr>
      <w:rFonts w:ascii="宋体" w:hAnsi="宋体" w:eastAsia="宋体" w:cs="Times New Roman"/>
      <w:kern w:val="0"/>
      <w:sz w:val="24"/>
      <w:szCs w:val="24"/>
    </w:rPr>
  </w:style>
  <w:style w:type="character" w:customStyle="1" w:styleId="101">
    <w:name w:val="font31"/>
    <w:qFormat/>
    <w:uiPriority w:val="0"/>
    <w:rPr>
      <w:rFonts w:hint="default" w:ascii="楷体_GB2312" w:eastAsia="楷体_GB2312" w:cs="楷体_GB2312"/>
      <w:color w:val="000000"/>
      <w:sz w:val="20"/>
      <w:szCs w:val="20"/>
      <w:u w:val="none"/>
    </w:rPr>
  </w:style>
  <w:style w:type="character" w:customStyle="1" w:styleId="102">
    <w:name w:val="font51"/>
    <w:qFormat/>
    <w:uiPriority w:val="0"/>
    <w:rPr>
      <w:rFonts w:hint="eastAsia" w:ascii="宋体" w:hAnsi="宋体" w:eastAsia="宋体" w:cs="宋体"/>
      <w:color w:val="000000"/>
      <w:sz w:val="20"/>
      <w:szCs w:val="20"/>
      <w:u w:val="none"/>
    </w:rPr>
  </w:style>
  <w:style w:type="character" w:customStyle="1" w:styleId="103">
    <w:name w:val="citation_volume1"/>
    <w:qFormat/>
    <w:uiPriority w:val="0"/>
    <w:rPr>
      <w:i/>
      <w:iCs/>
    </w:rPr>
  </w:style>
  <w:style w:type="character" w:customStyle="1" w:styleId="104">
    <w:name w:val="正文文本 2 Char"/>
    <w:link w:val="37"/>
    <w:qFormat/>
    <w:uiPriority w:val="0"/>
    <w:rPr>
      <w:rFonts w:ascii="Times New Roman" w:hAnsi="Times New Roman" w:eastAsia="宋体" w:cs="Times New Roman"/>
      <w:szCs w:val="24"/>
    </w:rPr>
  </w:style>
  <w:style w:type="character" w:customStyle="1" w:styleId="105">
    <w:name w:val="data_bold"/>
    <w:basedOn w:val="41"/>
    <w:qFormat/>
    <w:uiPriority w:val="0"/>
  </w:style>
  <w:style w:type="character" w:customStyle="1" w:styleId="106">
    <w:name w:val="普通(网站) Char"/>
    <w:link w:val="39"/>
    <w:qFormat/>
    <w:uiPriority w:val="0"/>
    <w:rPr>
      <w:rFonts w:ascii="Times New Roman" w:hAnsi="Times New Roman" w:eastAsia="宋体" w:cs="Times New Roman"/>
      <w:kern w:val="0"/>
      <w:sz w:val="24"/>
      <w:szCs w:val="24"/>
    </w:rPr>
  </w:style>
  <w:style w:type="character" w:customStyle="1" w:styleId="107">
    <w:name w:val="font81"/>
    <w:qFormat/>
    <w:uiPriority w:val="0"/>
    <w:rPr>
      <w:rFonts w:hint="default" w:ascii="楷体_GB2312" w:eastAsia="楷体_GB2312" w:cs="楷体_GB2312"/>
      <w:color w:val="000000"/>
      <w:sz w:val="20"/>
      <w:szCs w:val="20"/>
      <w:u w:val="none"/>
    </w:rPr>
  </w:style>
  <w:style w:type="character" w:customStyle="1" w:styleId="108">
    <w:name w:val="纯文本 Char"/>
    <w:link w:val="23"/>
    <w:qFormat/>
    <w:uiPriority w:val="0"/>
    <w:rPr>
      <w:rFonts w:ascii="宋体" w:hAnsi="Courier New" w:eastAsia="宋体" w:cs="Times New Roman"/>
      <w:kern w:val="0"/>
      <w:sz w:val="20"/>
      <w:szCs w:val="21"/>
    </w:rPr>
  </w:style>
  <w:style w:type="character" w:customStyle="1" w:styleId="109">
    <w:name w:val="样式 正文缩进 + 黑色 首行缩进:  2 字符 Char"/>
    <w:link w:val="110"/>
    <w:qFormat/>
    <w:uiPriority w:val="0"/>
    <w:rPr>
      <w:rFonts w:ascii="Times New Roman" w:hAnsi="Times New Roman" w:eastAsia="宋体" w:cs="Times New Roman"/>
      <w:szCs w:val="24"/>
    </w:rPr>
  </w:style>
  <w:style w:type="paragraph" w:customStyle="1" w:styleId="110">
    <w:name w:val="样式 正文缩进 + 黑色 首行缩进:  2 字符"/>
    <w:basedOn w:val="6"/>
    <w:link w:val="109"/>
    <w:qFormat/>
    <w:uiPriority w:val="0"/>
  </w:style>
  <w:style w:type="character" w:customStyle="1" w:styleId="111">
    <w:name w:val="日期 Char"/>
    <w:link w:val="25"/>
    <w:qFormat/>
    <w:uiPriority w:val="0"/>
    <w:rPr>
      <w:rFonts w:ascii="Times New Roman" w:hAnsi="Times New Roman" w:eastAsia="宋体" w:cs="Times New Roman"/>
      <w:szCs w:val="20"/>
    </w:rPr>
  </w:style>
  <w:style w:type="character" w:customStyle="1" w:styleId="112">
    <w:name w:val="正文首行缩进 Char"/>
    <w:link w:val="15"/>
    <w:qFormat/>
    <w:uiPriority w:val="0"/>
    <w:rPr>
      <w:rFonts w:ascii="Times New Roman" w:hAnsi="Times New Roman" w:eastAsia="宋体" w:cs="Times New Roman"/>
      <w:szCs w:val="24"/>
    </w:rPr>
  </w:style>
  <w:style w:type="character" w:customStyle="1" w:styleId="113">
    <w:name w:val="newtitle1"/>
    <w:qFormat/>
    <w:uiPriority w:val="0"/>
    <w:rPr>
      <w:b/>
      <w:bCs/>
      <w:color w:val="104264"/>
    </w:rPr>
  </w:style>
  <w:style w:type="paragraph" w:customStyle="1" w:styleId="114">
    <w:name w:val="Default"/>
    <w:qFormat/>
    <w:uiPriority w:val="0"/>
    <w:pPr>
      <w:widowControl w:val="0"/>
      <w:autoSpaceDE w:val="0"/>
      <w:autoSpaceDN w:val="0"/>
      <w:adjustRightInd w:val="0"/>
    </w:pPr>
    <w:rPr>
      <w:rFonts w:ascii="HYShuSongErJ" w:hAnsi="HYShuSongErJ" w:eastAsia="宋体" w:cs="HYShuSongErJ"/>
      <w:color w:val="000000"/>
      <w:kern w:val="0"/>
      <w:sz w:val="24"/>
      <w:szCs w:val="24"/>
      <w:lang w:val="en-US" w:eastAsia="zh-CN" w:bidi="ar-SA"/>
    </w:rPr>
  </w:style>
  <w:style w:type="paragraph" w:customStyle="1" w:styleId="115">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character" w:customStyle="1" w:styleId="116">
    <w:name w:val="HTML 预设格式 Char1"/>
    <w:basedOn w:val="41"/>
    <w:semiHidden/>
    <w:qFormat/>
    <w:uiPriority w:val="99"/>
    <w:rPr>
      <w:rFonts w:ascii="Courier New" w:hAnsi="Courier New" w:eastAsia="宋体" w:cs="Courier New"/>
      <w:sz w:val="20"/>
      <w:szCs w:val="20"/>
    </w:rPr>
  </w:style>
  <w:style w:type="paragraph" w:customStyle="1" w:styleId="117">
    <w:name w:val="xl4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20">
    <w:name w:val="正文文本缩进 3 Char1"/>
    <w:basedOn w:val="41"/>
    <w:semiHidden/>
    <w:qFormat/>
    <w:uiPriority w:val="99"/>
    <w:rPr>
      <w:rFonts w:ascii="Calibri" w:hAnsi="Calibri" w:eastAsia="宋体" w:cs="Times New Roman"/>
      <w:sz w:val="16"/>
      <w:szCs w:val="16"/>
    </w:rPr>
  </w:style>
  <w:style w:type="paragraph" w:customStyle="1" w:styleId="121">
    <w:name w:val="xl77"/>
    <w:basedOn w:val="1"/>
    <w:qFormat/>
    <w:uiPriority w:val="0"/>
    <w:pPr>
      <w:widowControl/>
      <w:spacing w:before="100" w:beforeAutospacing="1" w:after="100" w:afterAutospacing="1"/>
      <w:jc w:val="center"/>
      <w:textAlignment w:val="center"/>
    </w:pPr>
    <w:rPr>
      <w:rFonts w:ascii="Times New Roman" w:hAnsi="Times New Roman"/>
      <w:b/>
      <w:bCs/>
      <w:kern w:val="0"/>
      <w:sz w:val="20"/>
      <w:szCs w:val="20"/>
    </w:rPr>
  </w:style>
  <w:style w:type="paragraph" w:customStyle="1" w:styleId="122">
    <w:name w:val="xl52"/>
    <w:basedOn w:val="1"/>
    <w:qFormat/>
    <w:uiPriority w:val="0"/>
    <w:pPr>
      <w:widowControl/>
      <w:spacing w:before="100" w:beforeAutospacing="1" w:after="100" w:afterAutospacing="1"/>
      <w:jc w:val="center"/>
      <w:textAlignment w:val="center"/>
    </w:pPr>
    <w:rPr>
      <w:rFonts w:ascii="黑体" w:hAnsi="宋体" w:eastAsia="黑体" w:cs="宋体"/>
      <w:kern w:val="0"/>
      <w:sz w:val="32"/>
      <w:szCs w:val="32"/>
    </w:rPr>
  </w:style>
  <w:style w:type="character" w:customStyle="1" w:styleId="123">
    <w:name w:val="页眉 Char1"/>
    <w:basedOn w:val="41"/>
    <w:semiHidden/>
    <w:qFormat/>
    <w:uiPriority w:val="99"/>
    <w:rPr>
      <w:rFonts w:ascii="Calibri" w:hAnsi="Calibri" w:eastAsia="宋体" w:cs="Times New Roman"/>
      <w:sz w:val="18"/>
      <w:szCs w:val="18"/>
    </w:rPr>
  </w:style>
  <w:style w:type="paragraph" w:customStyle="1" w:styleId="124">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25">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character" w:customStyle="1" w:styleId="126">
    <w:name w:val="页脚 Char1"/>
    <w:basedOn w:val="41"/>
    <w:semiHidden/>
    <w:qFormat/>
    <w:uiPriority w:val="99"/>
    <w:rPr>
      <w:rFonts w:ascii="Calibri" w:hAnsi="Calibri" w:eastAsia="宋体" w:cs="Times New Roman"/>
      <w:sz w:val="18"/>
      <w:szCs w:val="18"/>
    </w:rPr>
  </w:style>
  <w:style w:type="paragraph" w:customStyle="1" w:styleId="12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
    <w:name w:val="xl40"/>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18"/>
      <w:szCs w:val="18"/>
    </w:rPr>
  </w:style>
  <w:style w:type="paragraph" w:customStyle="1" w:styleId="129">
    <w:name w:val="xl58"/>
    <w:basedOn w:val="1"/>
    <w:qFormat/>
    <w:uiPriority w:val="0"/>
    <w:pPr>
      <w:widowControl/>
      <w:spacing w:before="100" w:beforeAutospacing="1" w:after="100" w:afterAutospacing="1"/>
      <w:jc w:val="center"/>
    </w:pPr>
    <w:rPr>
      <w:rFonts w:ascii="黑体" w:hAnsi="宋体" w:eastAsia="黑体" w:cs="宋体"/>
      <w:kern w:val="0"/>
      <w:sz w:val="36"/>
      <w:szCs w:val="36"/>
    </w:rPr>
  </w:style>
  <w:style w:type="paragraph" w:customStyle="1" w:styleId="130">
    <w:name w:val="font1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kern w:val="0"/>
      <w:sz w:val="18"/>
      <w:szCs w:val="18"/>
    </w:rPr>
  </w:style>
  <w:style w:type="character" w:customStyle="1" w:styleId="132">
    <w:name w:val="正文文本 2 Char1"/>
    <w:basedOn w:val="41"/>
    <w:semiHidden/>
    <w:qFormat/>
    <w:uiPriority w:val="99"/>
    <w:rPr>
      <w:rFonts w:ascii="Calibri" w:hAnsi="Calibri" w:eastAsia="宋体" w:cs="Times New Roman"/>
    </w:rPr>
  </w:style>
  <w:style w:type="character" w:customStyle="1" w:styleId="133">
    <w:name w:val="纯文本 Char1"/>
    <w:basedOn w:val="41"/>
    <w:semiHidden/>
    <w:qFormat/>
    <w:uiPriority w:val="99"/>
    <w:rPr>
      <w:rFonts w:ascii="宋体" w:hAnsi="Courier New" w:eastAsia="宋体" w:cs="Courier New"/>
      <w:szCs w:val="21"/>
    </w:rPr>
  </w:style>
  <w:style w:type="paragraph" w:customStyle="1" w:styleId="134">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font1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6">
    <w:name w:val="xl5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37">
    <w:name w:val="正文文本缩进 2 Char1"/>
    <w:basedOn w:val="41"/>
    <w:semiHidden/>
    <w:qFormat/>
    <w:uiPriority w:val="99"/>
    <w:rPr>
      <w:rFonts w:ascii="Calibri" w:hAnsi="Calibri" w:eastAsia="宋体" w:cs="Times New Roman"/>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样式1"/>
    <w:basedOn w:val="2"/>
    <w:qFormat/>
    <w:uiPriority w:val="0"/>
    <w:pPr>
      <w:keepNext/>
      <w:keepLines/>
      <w:widowControl w:val="0"/>
      <w:spacing w:before="0" w:beforeAutospacing="0" w:after="0" w:afterAutospacing="0"/>
      <w:jc w:val="both"/>
      <w:outlineLvl w:val="9"/>
    </w:pPr>
    <w:rPr>
      <w:b w:val="0"/>
      <w:kern w:val="44"/>
      <w:sz w:val="24"/>
      <w:szCs w:val="44"/>
    </w:rPr>
  </w:style>
  <w:style w:type="paragraph" w:customStyle="1" w:styleId="140">
    <w:name w:val="样式 小四 首行缩进:  0.85 厘米"/>
    <w:basedOn w:val="1"/>
    <w:qFormat/>
    <w:uiPriority w:val="0"/>
    <w:pPr>
      <w:ind w:firstLine="482"/>
    </w:pPr>
    <w:rPr>
      <w:rFonts w:ascii="Times New Roman" w:hAnsi="Times New Roman" w:cs="宋体"/>
      <w:szCs w:val="20"/>
    </w:rPr>
  </w:style>
  <w:style w:type="paragraph" w:customStyle="1" w:styleId="141">
    <w:name w:val="xl89"/>
    <w:basedOn w:val="1"/>
    <w:qFormat/>
    <w:uiPriority w:val="0"/>
    <w:pPr>
      <w:widowControl/>
      <w:spacing w:before="100" w:beforeAutospacing="1" w:after="100" w:afterAutospacing="1"/>
      <w:jc w:val="left"/>
      <w:textAlignment w:val="center"/>
    </w:pPr>
    <w:rPr>
      <w:rFonts w:ascii="Times New Roman" w:hAnsi="Times New Roman"/>
      <w:kern w:val="0"/>
      <w:sz w:val="20"/>
      <w:szCs w:val="20"/>
    </w:rPr>
  </w:style>
  <w:style w:type="paragraph" w:customStyle="1" w:styleId="142">
    <w:name w:val="dash6b63-658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character" w:customStyle="1" w:styleId="144">
    <w:name w:val="日期 Char1"/>
    <w:basedOn w:val="41"/>
    <w:semiHidden/>
    <w:qFormat/>
    <w:uiPriority w:val="99"/>
    <w:rPr>
      <w:rFonts w:ascii="Calibri" w:hAnsi="Calibri" w:eastAsia="宋体" w:cs="Times New Roman"/>
    </w:rPr>
  </w:style>
  <w:style w:type="character" w:customStyle="1" w:styleId="145">
    <w:name w:val="正文文本 Char1"/>
    <w:basedOn w:val="41"/>
    <w:semiHidden/>
    <w:qFormat/>
    <w:uiPriority w:val="99"/>
    <w:rPr>
      <w:rFonts w:ascii="Calibri" w:hAnsi="Calibri" w:eastAsia="宋体" w:cs="Times New Roman"/>
    </w:rPr>
  </w:style>
  <w:style w:type="paragraph" w:customStyle="1" w:styleId="146">
    <w:name w:val="xl25"/>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147">
    <w:name w:val="xl4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0">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51">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2">
    <w:name w:val="abstract"/>
    <w:basedOn w:val="1"/>
    <w:qFormat/>
    <w:uiPriority w:val="0"/>
    <w:pPr>
      <w:jc w:val="left"/>
    </w:pPr>
    <w:rPr>
      <w:rFonts w:ascii="Times New Roman" w:hAnsi="Times New Roman"/>
      <w:kern w:val="0"/>
      <w:szCs w:val="24"/>
    </w:rPr>
  </w:style>
  <w:style w:type="paragraph" w:customStyle="1" w:styleId="153">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54">
    <w:name w:val="font14"/>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character" w:customStyle="1" w:styleId="155">
    <w:name w:val="批注框文本 Char1"/>
    <w:basedOn w:val="41"/>
    <w:semiHidden/>
    <w:qFormat/>
    <w:uiPriority w:val="99"/>
    <w:rPr>
      <w:rFonts w:ascii="Calibri" w:hAnsi="Calibri" w:eastAsia="宋体" w:cs="Times New Roman"/>
      <w:sz w:val="18"/>
      <w:szCs w:val="18"/>
    </w:rPr>
  </w:style>
  <w:style w:type="paragraph" w:customStyle="1" w:styleId="156">
    <w:name w:val="Char2 Char Char Char"/>
    <w:basedOn w:val="1"/>
    <w:qFormat/>
    <w:uiPriority w:val="0"/>
    <w:rPr>
      <w:rFonts w:ascii="Times New Roman" w:hAnsi="Times New Roman"/>
      <w:szCs w:val="20"/>
    </w:rPr>
  </w:style>
  <w:style w:type="paragraph" w:customStyle="1" w:styleId="1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9">
    <w:name w:val="xl43"/>
    <w:basedOn w:val="1"/>
    <w:qFormat/>
    <w:uiPriority w:val="0"/>
    <w:pPr>
      <w:widowControl/>
      <w:pBdr>
        <w:top w:val="single" w:color="auto" w:sz="4" w:space="0"/>
        <w:left w:val="single" w:color="auto" w:sz="4" w:space="0"/>
        <w:bottom w:val="single" w:color="auto" w:sz="8" w:space="0"/>
        <w:right w:val="single" w:color="auto" w:sz="4" w:space="0"/>
      </w:pBdr>
      <w:shd w:val="clear" w:color="auto" w:fill="CCFFCC"/>
      <w:spacing w:before="100" w:beforeAutospacing="1" w:after="100" w:afterAutospacing="1"/>
      <w:jc w:val="center"/>
      <w:textAlignment w:val="center"/>
    </w:pPr>
    <w:rPr>
      <w:rFonts w:ascii="宋体" w:hAnsi="宋体" w:cs="宋体"/>
      <w:kern w:val="0"/>
      <w:sz w:val="20"/>
      <w:szCs w:val="20"/>
    </w:rPr>
  </w:style>
  <w:style w:type="paragraph" w:customStyle="1" w:styleId="16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6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16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20"/>
      <w:szCs w:val="20"/>
    </w:rPr>
  </w:style>
  <w:style w:type="paragraph" w:customStyle="1" w:styleId="1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165">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character" w:customStyle="1" w:styleId="166">
    <w:name w:val="文档结构图 Char1"/>
    <w:basedOn w:val="41"/>
    <w:semiHidden/>
    <w:qFormat/>
    <w:uiPriority w:val="99"/>
    <w:rPr>
      <w:rFonts w:ascii="宋体" w:hAnsi="Calibri" w:eastAsia="宋体" w:cs="Times New Roman"/>
      <w:sz w:val="18"/>
      <w:szCs w:val="18"/>
    </w:rPr>
  </w:style>
  <w:style w:type="character" w:customStyle="1" w:styleId="167">
    <w:name w:val="正文文本缩进 Char1"/>
    <w:basedOn w:val="41"/>
    <w:link w:val="19"/>
    <w:semiHidden/>
    <w:qFormat/>
    <w:uiPriority w:val="99"/>
    <w:rPr>
      <w:rFonts w:ascii="Calibri" w:hAnsi="Calibri" w:eastAsia="宋体" w:cs="Times New Roman"/>
    </w:rPr>
  </w:style>
  <w:style w:type="character" w:customStyle="1" w:styleId="168">
    <w:name w:val="正文首行缩进 2 Char1"/>
    <w:basedOn w:val="167"/>
    <w:semiHidden/>
    <w:qFormat/>
    <w:uiPriority w:val="99"/>
    <w:rPr>
      <w:rFonts w:ascii="Calibri" w:hAnsi="Calibri" w:eastAsia="宋体" w:cs="Times New Roman"/>
    </w:rPr>
  </w:style>
  <w:style w:type="paragraph" w:customStyle="1" w:styleId="169">
    <w:name w:val="xl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70">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楷体_GB2312" w:hAnsi="宋体" w:eastAsia="楷体_GB2312" w:cs="宋体"/>
      <w:kern w:val="0"/>
      <w:sz w:val="20"/>
      <w:szCs w:val="20"/>
    </w:rPr>
  </w:style>
  <w:style w:type="paragraph" w:customStyle="1" w:styleId="172">
    <w:name w:val="xl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73">
    <w:name w:val="xl5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1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kern w:val="0"/>
      <w:sz w:val="20"/>
      <w:szCs w:val="20"/>
    </w:rPr>
  </w:style>
  <w:style w:type="paragraph" w:customStyle="1" w:styleId="175">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176">
    <w:name w:val="批注文字 Char1"/>
    <w:basedOn w:val="41"/>
    <w:semiHidden/>
    <w:qFormat/>
    <w:uiPriority w:val="99"/>
    <w:rPr>
      <w:rFonts w:ascii="Calibri" w:hAnsi="Calibri" w:eastAsia="宋体" w:cs="Times New Roman"/>
    </w:rPr>
  </w:style>
  <w:style w:type="paragraph" w:customStyle="1" w:styleId="17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0">
    <w:name w:val="xl5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font1"/>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182">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character" w:customStyle="1" w:styleId="183">
    <w:name w:val="批注主题 Char1"/>
    <w:basedOn w:val="176"/>
    <w:semiHidden/>
    <w:uiPriority w:val="99"/>
    <w:rPr>
      <w:rFonts w:ascii="Calibri" w:hAnsi="Calibri" w:eastAsia="宋体" w:cs="Times New Roman"/>
      <w:b/>
      <w:bCs/>
    </w:rPr>
  </w:style>
  <w:style w:type="paragraph" w:customStyle="1" w:styleId="184">
    <w:name w:val="author_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0"/>
      <w:szCs w:val="20"/>
    </w:rPr>
  </w:style>
  <w:style w:type="character" w:customStyle="1" w:styleId="186">
    <w:name w:val="正文文本 3 Char1"/>
    <w:basedOn w:val="41"/>
    <w:semiHidden/>
    <w:qFormat/>
    <w:uiPriority w:val="99"/>
    <w:rPr>
      <w:rFonts w:ascii="Calibri" w:hAnsi="Calibri" w:eastAsia="宋体" w:cs="Times New Roman"/>
      <w:sz w:val="16"/>
      <w:szCs w:val="16"/>
    </w:rPr>
  </w:style>
  <w:style w:type="paragraph" w:customStyle="1" w:styleId="187">
    <w:name w:val="xl65"/>
    <w:basedOn w:val="1"/>
    <w:qFormat/>
    <w:uiPriority w:val="0"/>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188">
    <w:name w:val="font7"/>
    <w:basedOn w:val="1"/>
    <w:qFormat/>
    <w:uiPriority w:val="0"/>
    <w:pPr>
      <w:widowControl/>
      <w:spacing w:before="100" w:beforeAutospacing="1" w:after="100" w:afterAutospacing="1"/>
      <w:jc w:val="left"/>
    </w:pPr>
    <w:rPr>
      <w:rFonts w:ascii="Times New Roman" w:hAnsi="Times New Roman"/>
      <w:kern w:val="0"/>
      <w:sz w:val="20"/>
      <w:szCs w:val="20"/>
    </w:rPr>
  </w:style>
  <w:style w:type="character" w:customStyle="1" w:styleId="189">
    <w:name w:val="正文首行缩进 Char1"/>
    <w:basedOn w:val="145"/>
    <w:semiHidden/>
    <w:qFormat/>
    <w:uiPriority w:val="99"/>
    <w:rPr>
      <w:rFonts w:ascii="Calibri" w:hAnsi="Calibri" w:eastAsia="宋体" w:cs="Times New Roman"/>
    </w:rPr>
  </w:style>
  <w:style w:type="paragraph" w:customStyle="1" w:styleId="190">
    <w:name w:val="xl5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2">
    <w:name w:val="列出段落1"/>
    <w:basedOn w:val="1"/>
    <w:qFormat/>
    <w:uiPriority w:val="0"/>
    <w:pPr>
      <w:ind w:firstLine="420" w:firstLineChars="200"/>
    </w:pPr>
    <w:rPr>
      <w:rFonts w:ascii="Times New Roman" w:hAnsi="Times New Roman"/>
      <w:szCs w:val="20"/>
    </w:rPr>
  </w:style>
  <w:style w:type="character" w:customStyle="1" w:styleId="193">
    <w:name w:val="标题 Char2"/>
    <w:basedOn w:val="41"/>
    <w:qFormat/>
    <w:uiPriority w:val="10"/>
    <w:rPr>
      <w:rFonts w:eastAsia="宋体" w:asciiTheme="majorHAnsi" w:hAnsiTheme="majorHAnsi" w:cstheme="majorBidi"/>
      <w:b/>
      <w:bCs/>
      <w:sz w:val="32"/>
      <w:szCs w:val="32"/>
    </w:rPr>
  </w:style>
  <w:style w:type="paragraph" w:customStyle="1" w:styleId="194">
    <w:name w:val="xl66"/>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95">
    <w:name w:val="xl4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97">
    <w:name w:val="font12"/>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9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99">
    <w:name w:val="publish_text"/>
    <w:basedOn w:val="1"/>
    <w:qFormat/>
    <w:uiPriority w:val="0"/>
    <w:pPr>
      <w:widowControl/>
      <w:jc w:val="left"/>
    </w:pPr>
    <w:rPr>
      <w:rFonts w:ascii="宋体" w:hAnsi="宋体" w:cs="宋体"/>
      <w:kern w:val="0"/>
      <w:sz w:val="24"/>
      <w:szCs w:val="24"/>
    </w:rPr>
  </w:style>
  <w:style w:type="paragraph" w:customStyle="1" w:styleId="20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0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202">
    <w:name w:val="列出段落11"/>
    <w:basedOn w:val="1"/>
    <w:qFormat/>
    <w:uiPriority w:val="0"/>
    <w:pPr>
      <w:ind w:firstLine="420" w:firstLineChars="200"/>
    </w:pPr>
    <w:rPr>
      <w:rFonts w:ascii="Times New Roman" w:hAnsi="Times New Roman" w:eastAsia="方正仿宋简体"/>
      <w:sz w:val="32"/>
      <w:szCs w:val="24"/>
    </w:rPr>
  </w:style>
  <w:style w:type="paragraph" w:customStyle="1" w:styleId="203">
    <w:name w:val="xl5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20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6">
    <w:name w:val="列出段落2"/>
    <w:basedOn w:val="1"/>
    <w:qFormat/>
    <w:uiPriority w:val="99"/>
    <w:pPr>
      <w:ind w:firstLine="420" w:firstLineChars="200"/>
    </w:pPr>
  </w:style>
  <w:style w:type="paragraph" w:customStyle="1" w:styleId="2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8">
    <w:name w:val="xl37"/>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209">
    <w:name w:val="Char Char Char 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210">
    <w:name w:val="标准"/>
    <w:basedOn w:val="1"/>
    <w:qFormat/>
    <w:uiPriority w:val="0"/>
    <w:pPr>
      <w:adjustRightInd w:val="0"/>
      <w:spacing w:before="120" w:after="120" w:line="312" w:lineRule="atLeast"/>
      <w:textAlignment w:val="baseline"/>
    </w:pPr>
    <w:rPr>
      <w:rFonts w:ascii="宋体" w:hAnsi="Times New Roman"/>
      <w:kern w:val="0"/>
      <w:szCs w:val="20"/>
    </w:rPr>
  </w:style>
  <w:style w:type="paragraph" w:customStyle="1" w:styleId="211">
    <w:name w:val="xl44"/>
    <w:basedOn w:val="1"/>
    <w:qFormat/>
    <w:uiPriority w:val="0"/>
    <w:pPr>
      <w:widowControl/>
      <w:pBdr>
        <w:top w:val="single" w:color="auto" w:sz="4" w:space="0"/>
        <w:left w:val="single" w:color="auto" w:sz="4" w:space="0"/>
        <w:bottom w:val="single" w:color="auto" w:sz="8" w:space="0"/>
        <w:right w:val="single" w:color="auto" w:sz="8" w:space="0"/>
      </w:pBdr>
      <w:shd w:val="clear" w:color="auto" w:fill="CCFFCC"/>
      <w:spacing w:before="100" w:beforeAutospacing="1" w:after="100" w:afterAutospacing="1"/>
      <w:jc w:val="center"/>
      <w:textAlignment w:val="center"/>
    </w:pPr>
    <w:rPr>
      <w:rFonts w:ascii="宋体" w:hAnsi="宋体" w:cs="宋体"/>
      <w:kern w:val="0"/>
      <w:sz w:val="20"/>
      <w:szCs w:val="20"/>
    </w:rPr>
  </w:style>
  <w:style w:type="paragraph" w:customStyle="1" w:styleId="212">
    <w:name w:val="xl5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3">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4">
    <w:name w:val="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215">
    <w:name w:val="font15"/>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216">
    <w:name w:val="xl6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21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kern w:val="0"/>
      <w:sz w:val="18"/>
      <w:szCs w:val="18"/>
    </w:rPr>
  </w:style>
  <w:style w:type="paragraph" w:customStyle="1" w:styleId="21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2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18"/>
      <w:szCs w:val="18"/>
    </w:rPr>
  </w:style>
  <w:style w:type="paragraph" w:customStyle="1" w:styleId="222">
    <w:name w:val="xl81"/>
    <w:basedOn w:val="1"/>
    <w:qFormat/>
    <w:uiPriority w:val="0"/>
    <w:pPr>
      <w:widowControl/>
      <w:spacing w:before="100" w:beforeAutospacing="1" w:after="100" w:afterAutospacing="1"/>
      <w:jc w:val="center"/>
      <w:textAlignment w:val="center"/>
    </w:pPr>
    <w:rPr>
      <w:rFonts w:ascii="Times New Roman" w:hAnsi="Times New Roman"/>
      <w:kern w:val="0"/>
      <w:sz w:val="20"/>
      <w:szCs w:val="20"/>
    </w:rPr>
  </w:style>
  <w:style w:type="paragraph" w:customStyle="1" w:styleId="22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22"/>
    </w:rPr>
  </w:style>
  <w:style w:type="paragraph" w:customStyle="1" w:styleId="224">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5">
    <w:name w:val="xl3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2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0"/>
      <w:szCs w:val="20"/>
    </w:rPr>
  </w:style>
  <w:style w:type="paragraph" w:customStyle="1" w:styleId="227">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8">
    <w:name w:val="xl2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229">
    <w:name w:val="样式2"/>
    <w:basedOn w:val="3"/>
    <w:qFormat/>
    <w:uiPriority w:val="0"/>
    <w:pPr>
      <w:spacing w:beforeLines="20" w:afterLines="20" w:line="240" w:lineRule="auto"/>
      <w:ind w:firstLine="562" w:firstLineChars="200"/>
    </w:pPr>
    <w:rPr>
      <w:rFonts w:eastAsia="仿宋_GB2312"/>
      <w:kern w:val="2"/>
      <w:sz w:val="28"/>
    </w:rPr>
  </w:style>
  <w:style w:type="paragraph" w:customStyle="1" w:styleId="2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kern w:val="0"/>
      <w:sz w:val="24"/>
      <w:szCs w:val="24"/>
    </w:rPr>
  </w:style>
  <w:style w:type="paragraph" w:customStyle="1" w:styleId="231">
    <w:name w:val="xl88"/>
    <w:basedOn w:val="1"/>
    <w:qFormat/>
    <w:uiPriority w:val="0"/>
    <w:pPr>
      <w:widowControl/>
      <w:spacing w:before="100" w:beforeAutospacing="1" w:after="100" w:afterAutospacing="1"/>
      <w:jc w:val="center"/>
      <w:textAlignment w:val="center"/>
    </w:pPr>
    <w:rPr>
      <w:rFonts w:ascii="Times New Roman" w:hAnsi="Times New Roman"/>
      <w:kern w:val="0"/>
      <w:sz w:val="20"/>
      <w:szCs w:val="20"/>
    </w:rPr>
  </w:style>
  <w:style w:type="paragraph" w:customStyle="1" w:styleId="2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table" w:customStyle="1" w:styleId="233">
    <w:name w:val="网格型3"/>
    <w:basedOn w:val="49"/>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
    <w:name w:val="网格型11"/>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
    <w:name w:val="网格型1"/>
    <w:basedOn w:val="49"/>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236">
    <w:name w:val="网格型2"/>
    <w:basedOn w:val="4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7">
    <w:name w:val="icon_cap_b"/>
    <w:basedOn w:val="41"/>
    <w:qFormat/>
    <w:uiPriority w:val="0"/>
    <w:rPr>
      <w:sz w:val="12"/>
      <w:szCs w:val="12"/>
    </w:rPr>
  </w:style>
  <w:style w:type="character" w:customStyle="1" w:styleId="238">
    <w:name w:val="itemimagecaption"/>
    <w:basedOn w:val="41"/>
    <w:qFormat/>
    <w:uiPriority w:val="0"/>
    <w:rPr>
      <w:color w:val="666666"/>
      <w:sz w:val="8"/>
      <w:szCs w:val="8"/>
    </w:rPr>
  </w:style>
  <w:style w:type="character" w:customStyle="1" w:styleId="239">
    <w:name w:val="ubname"/>
    <w:basedOn w:val="41"/>
    <w:qFormat/>
    <w:uiPriority w:val="0"/>
    <w:rPr>
      <w:b/>
      <w:sz w:val="10"/>
      <w:szCs w:val="10"/>
    </w:rPr>
  </w:style>
  <w:style w:type="character" w:customStyle="1" w:styleId="240">
    <w:name w:val="tagitemimage"/>
    <w:basedOn w:val="41"/>
    <w:qFormat/>
    <w:uiPriority w:val="0"/>
  </w:style>
  <w:style w:type="character" w:customStyle="1" w:styleId="241">
    <w:name w:val="catitemextrafieldslabel"/>
    <w:basedOn w:val="41"/>
    <w:qFormat/>
    <w:uiPriority w:val="0"/>
    <w:rPr>
      <w:b/>
    </w:rPr>
  </w:style>
  <w:style w:type="character" w:customStyle="1" w:styleId="242">
    <w:name w:val="menu-title"/>
    <w:basedOn w:val="41"/>
    <w:qFormat/>
    <w:uiPriority w:val="0"/>
  </w:style>
  <w:style w:type="character" w:customStyle="1" w:styleId="243">
    <w:name w:val="menu-title1"/>
    <w:basedOn w:val="41"/>
    <w:qFormat/>
    <w:uiPriority w:val="0"/>
  </w:style>
  <w:style w:type="character" w:customStyle="1" w:styleId="244">
    <w:name w:val="menu-title2"/>
    <w:basedOn w:val="41"/>
    <w:qFormat/>
    <w:uiPriority w:val="0"/>
  </w:style>
  <w:style w:type="character" w:customStyle="1" w:styleId="245">
    <w:name w:val="itemdatemodified"/>
    <w:basedOn w:val="41"/>
    <w:qFormat/>
    <w:uiPriority w:val="0"/>
  </w:style>
  <w:style w:type="character" w:customStyle="1" w:styleId="246">
    <w:name w:val="menu-desc"/>
    <w:basedOn w:val="41"/>
    <w:qFormat/>
    <w:uiPriority w:val="0"/>
    <w:rPr>
      <w:sz w:val="19"/>
      <w:szCs w:val="19"/>
    </w:rPr>
  </w:style>
  <w:style w:type="character" w:customStyle="1" w:styleId="247">
    <w:name w:val="menu-desc1"/>
    <w:basedOn w:val="41"/>
    <w:qFormat/>
    <w:uiPriority w:val="0"/>
  </w:style>
  <w:style w:type="character" w:customStyle="1" w:styleId="248">
    <w:name w:val="menu-desc2"/>
    <w:basedOn w:val="41"/>
    <w:qFormat/>
    <w:uiPriority w:val="0"/>
  </w:style>
  <w:style w:type="character" w:customStyle="1" w:styleId="249">
    <w:name w:val="menu-desc3"/>
    <w:basedOn w:val="41"/>
    <w:qFormat/>
    <w:uiPriority w:val="0"/>
    <w:rPr>
      <w:b/>
      <w:color w:val="FFFFFF"/>
      <w:sz w:val="7"/>
      <w:szCs w:val="7"/>
      <w:shd w:val="clear" w:color="auto" w:fill="696F72"/>
    </w:rPr>
  </w:style>
  <w:style w:type="character" w:customStyle="1" w:styleId="250">
    <w:name w:val="menu-desc4"/>
    <w:basedOn w:val="41"/>
    <w:qFormat/>
    <w:uiPriority w:val="0"/>
    <w:rPr>
      <w:shd w:val="clear" w:color="auto" w:fill="6B9E1B"/>
    </w:rPr>
  </w:style>
  <w:style w:type="character" w:customStyle="1" w:styleId="251">
    <w:name w:val="menu-desc5"/>
    <w:basedOn w:val="41"/>
    <w:qFormat/>
    <w:uiPriority w:val="0"/>
    <w:rPr>
      <w:shd w:val="clear" w:color="auto" w:fill="EE372A"/>
    </w:rPr>
  </w:style>
  <w:style w:type="character" w:customStyle="1" w:styleId="252">
    <w:name w:val="menu-desc6"/>
    <w:basedOn w:val="41"/>
    <w:qFormat/>
    <w:uiPriority w:val="0"/>
    <w:rPr>
      <w:shd w:val="clear" w:color="auto" w:fill="0367A6"/>
    </w:rPr>
  </w:style>
  <w:style w:type="character" w:customStyle="1" w:styleId="253">
    <w:name w:val="menu-desc7"/>
    <w:basedOn w:val="41"/>
    <w:qFormat/>
    <w:uiPriority w:val="0"/>
    <w:rPr>
      <w:b/>
      <w:color w:val="FFFFFF"/>
      <w:sz w:val="7"/>
      <w:szCs w:val="7"/>
      <w:shd w:val="clear" w:color="auto" w:fill="696F72"/>
    </w:rPr>
  </w:style>
  <w:style w:type="character" w:customStyle="1" w:styleId="254">
    <w:name w:val="menu-desc8"/>
    <w:basedOn w:val="41"/>
    <w:qFormat/>
    <w:uiPriority w:val="0"/>
    <w:rPr>
      <w:shd w:val="clear" w:color="auto" w:fill="6B9E1B"/>
    </w:rPr>
  </w:style>
  <w:style w:type="character" w:customStyle="1" w:styleId="255">
    <w:name w:val="menu-desc9"/>
    <w:basedOn w:val="41"/>
    <w:qFormat/>
    <w:uiPriority w:val="0"/>
    <w:rPr>
      <w:shd w:val="clear" w:color="auto" w:fill="EE372A"/>
    </w:rPr>
  </w:style>
  <w:style w:type="character" w:customStyle="1" w:styleId="256">
    <w:name w:val="menu-desc10"/>
    <w:basedOn w:val="41"/>
    <w:qFormat/>
    <w:uiPriority w:val="0"/>
    <w:rPr>
      <w:shd w:val="clear" w:color="auto" w:fill="0367A6"/>
    </w:rPr>
  </w:style>
  <w:style w:type="character" w:customStyle="1" w:styleId="257">
    <w:name w:val="menu-desc11"/>
    <w:basedOn w:val="41"/>
    <w:qFormat/>
    <w:uiPriority w:val="0"/>
    <w:rPr>
      <w:sz w:val="22"/>
      <w:szCs w:val="22"/>
    </w:rPr>
  </w:style>
  <w:style w:type="character" w:customStyle="1" w:styleId="258">
    <w:name w:val="menu-desc12"/>
    <w:basedOn w:val="41"/>
    <w:qFormat/>
    <w:uiPriority w:val="0"/>
    <w:rPr>
      <w:sz w:val="19"/>
      <w:szCs w:val="19"/>
    </w:rPr>
  </w:style>
  <w:style w:type="character" w:customStyle="1" w:styleId="259">
    <w:name w:val="menu-desc13"/>
    <w:basedOn w:val="41"/>
    <w:qFormat/>
    <w:uiPriority w:val="0"/>
  </w:style>
  <w:style w:type="character" w:customStyle="1" w:styleId="260">
    <w:name w:val="menu-desc14"/>
    <w:basedOn w:val="41"/>
    <w:qFormat/>
    <w:uiPriority w:val="0"/>
    <w:rPr>
      <w:b/>
      <w:color w:val="FFFFFF"/>
      <w:sz w:val="7"/>
      <w:szCs w:val="7"/>
      <w:shd w:val="clear" w:color="auto" w:fill="696F72"/>
    </w:rPr>
  </w:style>
  <w:style w:type="character" w:customStyle="1" w:styleId="261">
    <w:name w:val="menu-desc15"/>
    <w:basedOn w:val="41"/>
    <w:qFormat/>
    <w:uiPriority w:val="0"/>
    <w:rPr>
      <w:shd w:val="clear" w:color="auto" w:fill="6B9E1B"/>
    </w:rPr>
  </w:style>
  <w:style w:type="character" w:customStyle="1" w:styleId="262">
    <w:name w:val="menu-desc16"/>
    <w:basedOn w:val="41"/>
    <w:qFormat/>
    <w:uiPriority w:val="0"/>
    <w:rPr>
      <w:shd w:val="clear" w:color="auto" w:fill="EE372A"/>
    </w:rPr>
  </w:style>
  <w:style w:type="character" w:customStyle="1" w:styleId="263">
    <w:name w:val="menu-desc17"/>
    <w:basedOn w:val="41"/>
    <w:qFormat/>
    <w:uiPriority w:val="0"/>
    <w:rPr>
      <w:shd w:val="clear" w:color="auto" w:fill="0367A6"/>
    </w:rPr>
  </w:style>
  <w:style w:type="character" w:customStyle="1" w:styleId="264">
    <w:name w:val="menu-desc18"/>
    <w:basedOn w:val="41"/>
    <w:qFormat/>
    <w:uiPriority w:val="0"/>
    <w:rPr>
      <w:b/>
      <w:color w:val="FFFFFF"/>
      <w:sz w:val="7"/>
      <w:szCs w:val="7"/>
      <w:shd w:val="clear" w:color="auto" w:fill="696F72"/>
    </w:rPr>
  </w:style>
  <w:style w:type="character" w:customStyle="1" w:styleId="265">
    <w:name w:val="menu-desc19"/>
    <w:basedOn w:val="41"/>
    <w:qFormat/>
    <w:uiPriority w:val="0"/>
    <w:rPr>
      <w:shd w:val="clear" w:color="auto" w:fill="6B9E1B"/>
    </w:rPr>
  </w:style>
  <w:style w:type="character" w:customStyle="1" w:styleId="266">
    <w:name w:val="menu-desc20"/>
    <w:basedOn w:val="41"/>
    <w:qFormat/>
    <w:uiPriority w:val="0"/>
    <w:rPr>
      <w:shd w:val="clear" w:color="auto" w:fill="EE372A"/>
    </w:rPr>
  </w:style>
  <w:style w:type="character" w:customStyle="1" w:styleId="267">
    <w:name w:val="menu-desc21"/>
    <w:basedOn w:val="41"/>
    <w:qFormat/>
    <w:uiPriority w:val="0"/>
    <w:rPr>
      <w:shd w:val="clear" w:color="auto" w:fill="0367A6"/>
    </w:rPr>
  </w:style>
  <w:style w:type="character" w:customStyle="1" w:styleId="268">
    <w:name w:val="separator"/>
    <w:basedOn w:val="41"/>
    <w:qFormat/>
    <w:uiPriority w:val="0"/>
    <w:rPr>
      <w:vanish/>
    </w:rPr>
  </w:style>
  <w:style w:type="character" w:customStyle="1" w:styleId="269">
    <w:name w:val="quoteiconleft"/>
    <w:basedOn w:val="41"/>
    <w:qFormat/>
    <w:uiPriority w:val="0"/>
    <w:rPr>
      <w:b/>
      <w:i/>
      <w:color w:val="135CAE"/>
      <w:sz w:val="30"/>
      <w:szCs w:val="30"/>
    </w:rPr>
  </w:style>
  <w:style w:type="character" w:customStyle="1" w:styleId="270">
    <w:name w:val="siteroot"/>
    <w:basedOn w:val="41"/>
    <w:qFormat/>
    <w:uiPriority w:val="0"/>
    <w:rPr>
      <w:vanish/>
    </w:rPr>
  </w:style>
  <w:style w:type="character" w:customStyle="1" w:styleId="271">
    <w:name w:val="lccommentdate"/>
    <w:basedOn w:val="41"/>
    <w:qFormat/>
    <w:uiPriority w:val="0"/>
    <w:rPr>
      <w:color w:val="999999"/>
    </w:rPr>
  </w:style>
  <w:style w:type="character" w:customStyle="1" w:styleId="272">
    <w:name w:val="itemimagecredits"/>
    <w:basedOn w:val="41"/>
    <w:qFormat/>
    <w:uiPriority w:val="0"/>
    <w:rPr>
      <w:i/>
      <w:color w:val="999999"/>
      <w:sz w:val="8"/>
      <w:szCs w:val="8"/>
    </w:rPr>
  </w:style>
  <w:style w:type="character" w:customStyle="1" w:styleId="273">
    <w:name w:val="itemvideocaption"/>
    <w:basedOn w:val="41"/>
    <w:qFormat/>
    <w:uiPriority w:val="0"/>
    <w:rPr>
      <w:b/>
      <w:color w:val="EEEEEE"/>
      <w:sz w:val="8"/>
      <w:szCs w:val="8"/>
    </w:rPr>
  </w:style>
  <w:style w:type="character" w:customStyle="1" w:styleId="274">
    <w:name w:val="commentauthorname"/>
    <w:basedOn w:val="41"/>
    <w:qFormat/>
    <w:uiPriority w:val="0"/>
    <w:rPr>
      <w:b/>
      <w:sz w:val="10"/>
      <w:szCs w:val="10"/>
    </w:rPr>
  </w:style>
  <w:style w:type="character" w:customStyle="1" w:styleId="275">
    <w:name w:val="catitemdate"/>
    <w:basedOn w:val="41"/>
    <w:qFormat/>
    <w:uiPriority w:val="0"/>
  </w:style>
  <w:style w:type="character" w:customStyle="1" w:styleId="276">
    <w:name w:val="jicons-icons"/>
    <w:basedOn w:val="41"/>
    <w:qFormat/>
    <w:uiPriority w:val="0"/>
  </w:style>
  <w:style w:type="character" w:customStyle="1" w:styleId="277">
    <w:name w:val="highlight"/>
    <w:basedOn w:val="41"/>
    <w:qFormat/>
    <w:uiPriority w:val="0"/>
    <w:rPr>
      <w:b/>
      <w:shd w:val="clear" w:color="auto" w:fill="FFFFCC"/>
    </w:rPr>
  </w:style>
  <w:style w:type="character" w:customStyle="1" w:styleId="278">
    <w:name w:val="moduleitemdatecreated"/>
    <w:basedOn w:val="41"/>
    <w:qFormat/>
    <w:uiPriority w:val="0"/>
  </w:style>
  <w:style w:type="character" w:customStyle="1" w:styleId="279">
    <w:name w:val="latestitemsuserurl"/>
    <w:basedOn w:val="41"/>
    <w:qFormat/>
    <w:uiPriority w:val="0"/>
    <w:rPr>
      <w:b/>
      <w:color w:val="555555"/>
    </w:rPr>
  </w:style>
  <w:style w:type="character" w:customStyle="1" w:styleId="280">
    <w:name w:val="useremail"/>
    <w:basedOn w:val="41"/>
    <w:qFormat/>
    <w:uiPriority w:val="0"/>
    <w:rPr>
      <w:b/>
      <w:color w:val="555555"/>
    </w:rPr>
  </w:style>
  <w:style w:type="character" w:customStyle="1" w:styleId="281">
    <w:name w:val="itemnavigationtitle"/>
    <w:basedOn w:val="41"/>
    <w:qFormat/>
    <w:uiPriority w:val="0"/>
    <w:rPr>
      <w:color w:val="999999"/>
    </w:rPr>
  </w:style>
  <w:style w:type="character" w:customStyle="1" w:styleId="282">
    <w:name w:val="pagenav1"/>
    <w:basedOn w:val="41"/>
    <w:qFormat/>
    <w:uiPriority w:val="0"/>
  </w:style>
  <w:style w:type="character" w:customStyle="1" w:styleId="283">
    <w:name w:val="name"/>
    <w:basedOn w:val="41"/>
    <w:qFormat/>
    <w:uiPriority w:val="0"/>
  </w:style>
  <w:style w:type="character" w:customStyle="1" w:styleId="284">
    <w:name w:val="itemauthorurl"/>
    <w:basedOn w:val="41"/>
    <w:qFormat/>
    <w:uiPriority w:val="0"/>
    <w:rPr>
      <w:b/>
      <w:color w:val="555555"/>
    </w:rPr>
  </w:style>
  <w:style w:type="character" w:customStyle="1" w:styleId="285">
    <w:name w:val="moduleitemextrafieldslabel"/>
    <w:basedOn w:val="41"/>
    <w:qFormat/>
    <w:uiPriority w:val="0"/>
    <w:rPr>
      <w:b/>
    </w:rPr>
  </w:style>
  <w:style w:type="character" w:customStyle="1" w:styleId="286">
    <w:name w:val="itemdeletelink"/>
    <w:basedOn w:val="41"/>
    <w:qFormat/>
    <w:uiPriority w:val="0"/>
  </w:style>
  <w:style w:type="character" w:customStyle="1" w:styleId="287">
    <w:name w:val="itemdeletelink1"/>
    <w:basedOn w:val="41"/>
    <w:qFormat/>
    <w:uiPriority w:val="0"/>
  </w:style>
  <w:style w:type="character" w:customStyle="1" w:styleId="288">
    <w:name w:val="itemdeletelink2"/>
    <w:basedOn w:val="41"/>
    <w:qFormat/>
    <w:uiPriority w:val="0"/>
  </w:style>
  <w:style w:type="character" w:customStyle="1" w:styleId="289">
    <w:name w:val="itemdeletelink3"/>
    <w:basedOn w:val="41"/>
    <w:qFormat/>
    <w:uiPriority w:val="0"/>
  </w:style>
  <w:style w:type="character" w:customStyle="1" w:styleId="290">
    <w:name w:val="bctitle"/>
    <w:basedOn w:val="41"/>
    <w:qFormat/>
    <w:uiPriority w:val="0"/>
    <w:rPr>
      <w:color w:val="999999"/>
    </w:rPr>
  </w:style>
  <w:style w:type="character" w:customStyle="1" w:styleId="291">
    <w:name w:val="genericitemimage"/>
    <w:basedOn w:val="41"/>
    <w:qFormat/>
    <w:uiPriority w:val="0"/>
  </w:style>
  <w:style w:type="character" w:customStyle="1" w:styleId="292">
    <w:name w:val="commentdate"/>
    <w:basedOn w:val="41"/>
    <w:qFormat/>
    <w:uiPriority w:val="0"/>
    <w:rPr>
      <w:b/>
      <w:sz w:val="10"/>
      <w:szCs w:val="10"/>
    </w:rPr>
  </w:style>
  <w:style w:type="character" w:customStyle="1" w:styleId="293">
    <w:name w:val="commentauthoremail"/>
    <w:basedOn w:val="41"/>
    <w:qFormat/>
    <w:uiPriority w:val="0"/>
    <w:rPr>
      <w:vanish/>
    </w:rPr>
  </w:style>
  <w:style w:type="character" w:customStyle="1" w:styleId="294">
    <w:name w:val="commenttoolbarloading"/>
    <w:basedOn w:val="41"/>
    <w:qFormat/>
    <w:uiPriority w:val="0"/>
  </w:style>
  <w:style w:type="character" w:customStyle="1" w:styleId="295">
    <w:name w:val="icon_b"/>
    <w:basedOn w:val="41"/>
    <w:qFormat/>
    <w:uiPriority w:val="0"/>
  </w:style>
  <w:style w:type="character" w:customStyle="1" w:styleId="296">
    <w:name w:val="itemvideocredits"/>
    <w:basedOn w:val="41"/>
    <w:qFormat/>
    <w:uiPriority w:val="0"/>
    <w:rPr>
      <w:i/>
      <w:color w:val="EEEEEE"/>
      <w:sz w:val="8"/>
      <w:szCs w:val="8"/>
    </w:rPr>
  </w:style>
  <w:style w:type="character" w:customStyle="1" w:styleId="297">
    <w:name w:val="itemvideo"/>
    <w:basedOn w:val="41"/>
    <w:qFormat/>
    <w:uiPriority w:val="0"/>
  </w:style>
  <w:style w:type="character" w:customStyle="1" w:styleId="298">
    <w:name w:val="itemauthoremail"/>
    <w:basedOn w:val="41"/>
    <w:qFormat/>
    <w:uiPriority w:val="0"/>
    <w:rPr>
      <w:b/>
      <w:color w:val="555555"/>
    </w:rPr>
  </w:style>
  <w:style w:type="character" w:customStyle="1" w:styleId="299">
    <w:name w:val="has-image"/>
    <w:basedOn w:val="41"/>
    <w:qFormat/>
    <w:uiPriority w:val="0"/>
  </w:style>
  <w:style w:type="character" w:customStyle="1" w:styleId="300">
    <w:name w:val="itemhits"/>
    <w:basedOn w:val="41"/>
    <w:qFormat/>
    <w:uiPriority w:val="0"/>
  </w:style>
  <w:style w:type="character" w:customStyle="1" w:styleId="301">
    <w:name w:val="bcseparator"/>
    <w:basedOn w:val="41"/>
    <w:qFormat/>
    <w:uiPriority w:val="0"/>
    <w:rPr>
      <w:sz w:val="10"/>
      <w:szCs w:val="10"/>
    </w:rPr>
  </w:style>
  <w:style w:type="character" w:customStyle="1" w:styleId="302">
    <w:name w:val="itemdatecreated"/>
    <w:basedOn w:val="41"/>
    <w:qFormat/>
    <w:uiPriority w:val="0"/>
    <w:rPr>
      <w:color w:val="999999"/>
      <w:sz w:val="8"/>
      <w:szCs w:val="8"/>
    </w:rPr>
  </w:style>
  <w:style w:type="character" w:customStyle="1" w:styleId="303">
    <w:name w:val="itemauthor"/>
    <w:basedOn w:val="41"/>
    <w:qFormat/>
    <w:uiPriority w:val="0"/>
  </w:style>
  <w:style w:type="character" w:customStyle="1" w:styleId="304">
    <w:name w:val="itemimage"/>
    <w:basedOn w:val="41"/>
    <w:qFormat/>
    <w:uiPriority w:val="0"/>
  </w:style>
  <w:style w:type="character" w:customStyle="1" w:styleId="305">
    <w:name w:val="itemextrafieldslabel"/>
    <w:basedOn w:val="41"/>
    <w:qFormat/>
    <w:uiPriority w:val="0"/>
    <w:rPr>
      <w:b/>
    </w:rPr>
  </w:style>
  <w:style w:type="character" w:customStyle="1" w:styleId="306">
    <w:name w:val="pagination"/>
    <w:basedOn w:val="41"/>
    <w:qFormat/>
    <w:uiPriority w:val="0"/>
  </w:style>
  <w:style w:type="character" w:customStyle="1" w:styleId="307">
    <w:name w:val="quoteiconright"/>
    <w:basedOn w:val="41"/>
    <w:qFormat/>
    <w:uiPriority w:val="0"/>
    <w:rPr>
      <w:b/>
      <w:i/>
      <w:color w:val="135CAE"/>
      <w:sz w:val="30"/>
      <w:szCs w:val="30"/>
    </w:rPr>
  </w:style>
  <w:style w:type="character" w:customStyle="1" w:styleId="308">
    <w:name w:val="thecomment"/>
    <w:basedOn w:val="41"/>
    <w:qFormat/>
    <w:uiPriority w:val="0"/>
    <w:rPr>
      <w:rFonts w:hint="default" w:ascii="Georgia" w:hAnsi="Georgia" w:eastAsia="Georgia" w:cs="Georgia"/>
      <w:i/>
      <w:color w:val="000000"/>
      <w:sz w:val="9"/>
      <w:szCs w:val="9"/>
    </w:rPr>
  </w:style>
  <w:style w:type="character" w:customStyle="1" w:styleId="309">
    <w:name w:val="catitemdatecreated"/>
    <w:basedOn w:val="41"/>
    <w:qFormat/>
    <w:uiPriority w:val="0"/>
    <w:rPr>
      <w:color w:val="999999"/>
      <w:sz w:val="8"/>
      <w:szCs w:val="8"/>
    </w:rPr>
  </w:style>
  <w:style w:type="character" w:customStyle="1" w:styleId="310">
    <w:name w:val="catitemdatecreated1"/>
    <w:basedOn w:val="41"/>
    <w:qFormat/>
    <w:uiPriority w:val="0"/>
  </w:style>
  <w:style w:type="character" w:customStyle="1" w:styleId="311">
    <w:name w:val="catitemauthor"/>
    <w:basedOn w:val="41"/>
    <w:qFormat/>
    <w:uiPriority w:val="0"/>
  </w:style>
  <w:style w:type="character" w:customStyle="1" w:styleId="312">
    <w:name w:val="catitemimage"/>
    <w:basedOn w:val="41"/>
    <w:qFormat/>
    <w:uiPriority w:val="0"/>
  </w:style>
  <w:style w:type="character" w:customStyle="1" w:styleId="313">
    <w:name w:val="genericitemextrafieldslabel"/>
    <w:basedOn w:val="41"/>
    <w:qFormat/>
    <w:uiPriority w:val="0"/>
    <w:rPr>
      <w:b/>
    </w:rPr>
  </w:style>
  <w:style w:type="character" w:customStyle="1" w:styleId="314">
    <w:name w:val="catitemvideo"/>
    <w:basedOn w:val="41"/>
    <w:qFormat/>
    <w:uiPriority w:val="0"/>
  </w:style>
  <w:style w:type="character" w:customStyle="1" w:styleId="315">
    <w:name w:val="catitemdatemodified"/>
    <w:basedOn w:val="41"/>
    <w:qFormat/>
    <w:uiPriority w:val="0"/>
    <w:rPr>
      <w:color w:val="999999"/>
    </w:rPr>
  </w:style>
  <w:style w:type="character" w:customStyle="1" w:styleId="316">
    <w:name w:val="userurl"/>
    <w:basedOn w:val="41"/>
    <w:qFormat/>
    <w:uiPriority w:val="0"/>
    <w:rPr>
      <w:b/>
      <w:color w:val="555555"/>
    </w:rPr>
  </w:style>
  <w:style w:type="character" w:customStyle="1" w:styleId="317">
    <w:name w:val="ubuseremail"/>
    <w:basedOn w:val="41"/>
    <w:qFormat/>
    <w:uiPriority w:val="0"/>
  </w:style>
  <w:style w:type="character" w:customStyle="1" w:styleId="318">
    <w:name w:val="useritemdatecreated"/>
    <w:basedOn w:val="41"/>
    <w:qFormat/>
    <w:uiPriority w:val="0"/>
    <w:rPr>
      <w:rFonts w:hint="eastAsia" w:ascii="宋体" w:hAnsi="宋体" w:eastAsia="宋体" w:cs="宋体"/>
      <w:color w:val="999999"/>
      <w:sz w:val="10"/>
      <w:szCs w:val="10"/>
    </w:rPr>
  </w:style>
  <w:style w:type="character" w:customStyle="1" w:styleId="319">
    <w:name w:val="useritemimage"/>
    <w:basedOn w:val="41"/>
    <w:qFormat/>
    <w:uiPriority w:val="0"/>
  </w:style>
  <w:style w:type="character" w:customStyle="1" w:styleId="320">
    <w:name w:val="tagitemdatecreated"/>
    <w:basedOn w:val="41"/>
    <w:qFormat/>
    <w:uiPriority w:val="0"/>
    <w:rPr>
      <w:color w:val="999999"/>
      <w:sz w:val="8"/>
      <w:szCs w:val="8"/>
    </w:rPr>
  </w:style>
  <w:style w:type="character" w:customStyle="1" w:styleId="321">
    <w:name w:val="genericitemdatecreated"/>
    <w:basedOn w:val="41"/>
    <w:qFormat/>
    <w:uiPriority w:val="0"/>
    <w:rPr>
      <w:color w:val="999999"/>
      <w:sz w:val="8"/>
      <w:szCs w:val="8"/>
    </w:rPr>
  </w:style>
  <w:style w:type="character" w:customStyle="1" w:styleId="322">
    <w:name w:val="latestitemsuseremail"/>
    <w:basedOn w:val="41"/>
    <w:qFormat/>
    <w:uiPriority w:val="0"/>
    <w:rPr>
      <w:b/>
      <w:color w:val="555555"/>
    </w:rPr>
  </w:style>
  <w:style w:type="character" w:customStyle="1" w:styleId="323">
    <w:name w:val="latestitemdatecreated"/>
    <w:basedOn w:val="41"/>
    <w:qFormat/>
    <w:uiPriority w:val="0"/>
    <w:rPr>
      <w:color w:val="999999"/>
      <w:sz w:val="8"/>
      <w:szCs w:val="8"/>
    </w:rPr>
  </w:style>
  <w:style w:type="character" w:customStyle="1" w:styleId="324">
    <w:name w:val="latestitemimage"/>
    <w:basedOn w:val="41"/>
    <w:qFormat/>
    <w:uiPriority w:val="0"/>
  </w:style>
  <w:style w:type="character" w:customStyle="1" w:styleId="325">
    <w:name w:val="latestitemvideo"/>
    <w:basedOn w:val="41"/>
    <w:qFormat/>
    <w:uiPriority w:val="0"/>
  </w:style>
  <w:style w:type="character" w:customStyle="1" w:styleId="326">
    <w:name w:val="tclatestcommentdate"/>
    <w:basedOn w:val="41"/>
    <w:qFormat/>
    <w:uiPriority w:val="0"/>
    <w:rPr>
      <w:color w:val="999999"/>
    </w:rPr>
  </w:style>
  <w:style w:type="character" w:customStyle="1" w:styleId="327">
    <w:name w:val="moduleitemhits"/>
    <w:basedOn w:val="41"/>
    <w:qFormat/>
    <w:uiPriority w:val="0"/>
  </w:style>
  <w:style w:type="character" w:customStyle="1" w:styleId="328">
    <w:name w:val="cattitle"/>
    <w:basedOn w:val="41"/>
    <w:qFormat/>
    <w:uiPriority w:val="0"/>
  </w:style>
  <w:style w:type="character" w:customStyle="1" w:styleId="329">
    <w:name w:val="red"/>
    <w:basedOn w:val="41"/>
    <w:qFormat/>
    <w:uiPriority w:val="0"/>
    <w:rPr>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2" textRotate="1"/>
    <customShpInfo spid="_x0000_s2050" textRotate="1"/>
    <customShpInfo spid="_x0000_s2051"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1886</Words>
  <Characters>10755</Characters>
  <Lines>89</Lines>
  <Paragraphs>25</Paragraphs>
  <TotalTime>0</TotalTime>
  <ScaleCrop>false</ScaleCrop>
  <LinksUpToDate>false</LinksUpToDate>
  <CharactersWithSpaces>12616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2018-09-20T08:21:00Z</dcterms:created>
  <dc:creator>ThinkPad User</dc:creator>
  <cp:lastModifiedBy>tanglx</cp:lastModifiedBy>
  <cp:lastPrinted>2018-09-25T07:15:00Z</cp:lastPrinted>
  <dcterms:modified xsi:type="dcterms:W3CDTF">2018-11-09T08:29:17Z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